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3GPP TSG-RAN WG4 Meeting </w:t>
      </w:r>
      <w:r w:rsidRPr="00D57AD5">
        <w:rPr>
          <w:rFonts w:ascii="Arial" w:hAnsi="Arial" w:cs="Arial"/>
          <w:b/>
          <w:sz w:val="24"/>
          <w:szCs w:val="24"/>
        </w:rPr>
        <w:t xml:space="preserve"># </w:t>
      </w:r>
      <w:r w:rsidR="00D57AD5" w:rsidRPr="00D57AD5">
        <w:rPr>
          <w:rFonts w:ascii="Arial" w:hAnsi="Arial" w:cs="Arial"/>
          <w:b/>
          <w:sz w:val="24"/>
          <w:szCs w:val="24"/>
        </w:rPr>
        <w:t>10</w:t>
      </w:r>
      <w:r w:rsidR="00004132">
        <w:rPr>
          <w:rFonts w:ascii="Arial" w:hAnsi="Arial" w:cs="Arial"/>
          <w:b/>
          <w:sz w:val="24"/>
          <w:szCs w:val="24"/>
        </w:rPr>
        <w:t>1</w:t>
      </w:r>
      <w:r w:rsidRPr="00D57AD5">
        <w:rPr>
          <w:rFonts w:ascii="Arial" w:hAnsi="Arial" w:cs="Arial"/>
          <w:b/>
          <w:sz w:val="24"/>
          <w:szCs w:val="24"/>
        </w:rPr>
        <w:t>-e</w:t>
      </w:r>
      <w:r w:rsidR="00E80ADD">
        <w:rPr>
          <w:rFonts w:ascii="Arial" w:hAnsi="Arial" w:cs="Arial"/>
          <w:b/>
          <w:sz w:val="24"/>
          <w:szCs w:val="24"/>
        </w:rPr>
        <w:tab/>
      </w:r>
      <w:r w:rsidR="00E80ADD">
        <w:rPr>
          <w:rFonts w:ascii="Arial" w:hAnsi="Arial" w:cs="Arial"/>
          <w:b/>
          <w:sz w:val="24"/>
          <w:szCs w:val="24"/>
        </w:rPr>
        <w:tab/>
      </w:r>
      <w:r w:rsidR="00E80AD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D57AD5">
        <w:rPr>
          <w:rFonts w:ascii="Arial" w:hAnsi="Arial" w:cs="Arial"/>
          <w:b/>
          <w:sz w:val="24"/>
          <w:szCs w:val="24"/>
        </w:rPr>
        <w:t xml:space="preserve">         </w:t>
      </w:r>
      <w:r w:rsidRPr="00CF3F73">
        <w:rPr>
          <w:rFonts w:ascii="Arial" w:hAnsi="Arial" w:cs="Arial"/>
          <w:b/>
          <w:sz w:val="24"/>
          <w:szCs w:val="24"/>
        </w:rPr>
        <w:t>R4-21</w:t>
      </w:r>
      <w:r w:rsidR="00FE1F6A" w:rsidRPr="00FE1F6A">
        <w:rPr>
          <w:rFonts w:ascii="Arial" w:hAnsi="Arial" w:cs="Arial"/>
          <w:b/>
          <w:sz w:val="24"/>
          <w:szCs w:val="24"/>
        </w:rPr>
        <w:t>17777</w:t>
      </w:r>
    </w:p>
    <w:p w:rsidR="002E50C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004132">
        <w:rPr>
          <w:rFonts w:ascii="Arial" w:hAnsi="Arial"/>
          <w:b/>
          <w:sz w:val="24"/>
          <w:szCs w:val="24"/>
        </w:rPr>
        <w:t>1</w:t>
      </w:r>
      <w:r w:rsidR="00004132">
        <w:rPr>
          <w:rFonts w:ascii="Arial" w:hAnsi="Arial"/>
          <w:b/>
          <w:sz w:val="24"/>
          <w:szCs w:val="24"/>
          <w:vertAlign w:val="superscript"/>
        </w:rPr>
        <w:t>st</w:t>
      </w:r>
      <w:r w:rsidRPr="00D57AD5">
        <w:rPr>
          <w:rFonts w:ascii="Arial" w:hAnsi="Arial"/>
          <w:b/>
          <w:sz w:val="24"/>
          <w:szCs w:val="24"/>
        </w:rPr>
        <w:t xml:space="preserve"> – </w:t>
      </w:r>
      <w:r w:rsidR="00004132">
        <w:rPr>
          <w:rFonts w:ascii="Arial" w:hAnsi="Arial"/>
          <w:b/>
          <w:sz w:val="24"/>
          <w:szCs w:val="24"/>
        </w:rPr>
        <w:t>12</w:t>
      </w:r>
      <w:r w:rsidRPr="00D57AD5">
        <w:rPr>
          <w:rFonts w:ascii="Arial" w:hAnsi="Arial"/>
          <w:b/>
          <w:sz w:val="24"/>
          <w:szCs w:val="24"/>
          <w:vertAlign w:val="superscript"/>
        </w:rPr>
        <w:t>th</w:t>
      </w:r>
      <w:r w:rsidRPr="00D57AD5">
        <w:rPr>
          <w:rFonts w:ascii="Arial" w:hAnsi="Arial"/>
          <w:b/>
          <w:sz w:val="24"/>
          <w:szCs w:val="24"/>
        </w:rPr>
        <w:t xml:space="preserve"> </w:t>
      </w:r>
      <w:r w:rsidR="00004132">
        <w:rPr>
          <w:rFonts w:ascii="Arial" w:hAnsi="Arial"/>
          <w:b/>
          <w:sz w:val="24"/>
          <w:szCs w:val="24"/>
        </w:rPr>
        <w:t>November</w:t>
      </w:r>
      <w:r w:rsidRPr="00CD5A36">
        <w:rPr>
          <w:rFonts w:ascii="Arial" w:hAnsi="Arial"/>
          <w:b/>
          <w:sz w:val="24"/>
          <w:szCs w:val="24"/>
        </w:rPr>
        <w:t xml:space="preserve"> 2021</w:t>
      </w:r>
    </w:p>
    <w:p w:rsidR="002E50C8" w:rsidRPr="00D57AD5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E1F6A">
        <w:rPr>
          <w:rFonts w:ascii="Arial" w:hAnsi="Arial" w:cs="Arial"/>
          <w:color w:val="000000"/>
          <w:sz w:val="22"/>
        </w:rPr>
        <w:t>8.13.2.1</w:t>
      </w:r>
    </w:p>
    <w:p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</w:p>
    <w:p w:rsidR="002E50C8" w:rsidRPr="00873E1F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A263F3">
        <w:rPr>
          <w:rFonts w:ascii="Arial" w:hAnsi="Arial" w:cs="Arial"/>
          <w:color w:val="000000"/>
          <w:sz w:val="22"/>
        </w:rPr>
        <w:t xml:space="preserve">NR-NTN co-ex </w:t>
      </w:r>
      <w:r w:rsidR="00BC31D7">
        <w:rPr>
          <w:rFonts w:ascii="Arial" w:hAnsi="Arial" w:cs="Arial" w:hint="eastAsia"/>
          <w:color w:val="000000"/>
          <w:sz w:val="22"/>
        </w:rPr>
        <w:t>assum</w:t>
      </w:r>
      <w:r w:rsidR="00BC31D7">
        <w:rPr>
          <w:rFonts w:ascii="Arial" w:hAnsi="Arial" w:cs="Arial"/>
          <w:color w:val="000000"/>
          <w:sz w:val="22"/>
        </w:rPr>
        <w:t>ption and</w:t>
      </w:r>
      <w:r w:rsidR="00A263F3">
        <w:rPr>
          <w:rFonts w:ascii="Arial" w:hAnsi="Arial" w:cs="Arial"/>
          <w:color w:val="000000"/>
          <w:sz w:val="22"/>
        </w:rPr>
        <w:t xml:space="preserve"> ACIR results</w:t>
      </w:r>
    </w:p>
    <w:p w:rsidR="002E50C8" w:rsidRPr="00484C5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ED7F18">
        <w:rPr>
          <w:rFonts w:ascii="Arial" w:hAnsi="Arial" w:cs="Arial"/>
          <w:color w:val="000000"/>
          <w:sz w:val="22"/>
        </w:rPr>
        <w:t>Approval</w:t>
      </w:r>
    </w:p>
    <w:p w:rsidR="00621D14" w:rsidRDefault="00CF1FA6">
      <w:pPr>
        <w:pStyle w:val="Heading1"/>
        <w:rPr>
          <w:lang w:eastAsia="zh-CN"/>
        </w:rPr>
      </w:pPr>
      <w:r>
        <w:t>Introduction</w:t>
      </w:r>
    </w:p>
    <w:p w:rsidR="002710F6" w:rsidRPr="002710F6" w:rsidRDefault="002E50C8" w:rsidP="00FE2C9F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In </w:t>
      </w:r>
      <w:r w:rsidR="00A263F3">
        <w:rPr>
          <w:rFonts w:ascii="Times New Roman" w:hAnsi="Times New Roman"/>
          <w:color w:val="000000"/>
          <w:szCs w:val="20"/>
        </w:rPr>
        <w:t xml:space="preserve">this meeting, we proposed </w:t>
      </w:r>
      <w:r w:rsidR="00FE2C9F">
        <w:rPr>
          <w:rFonts w:ascii="Times New Roman" w:hAnsi="Times New Roman"/>
          <w:color w:val="000000"/>
          <w:szCs w:val="20"/>
        </w:rPr>
        <w:t>some clarifications on existing NR-NTN co-ex assumptions, and then proposed our ACIR results</w:t>
      </w:r>
      <w:r w:rsidR="00142DDB">
        <w:rPr>
          <w:rFonts w:ascii="Times New Roman" w:hAnsi="Times New Roman"/>
          <w:color w:val="000000"/>
          <w:szCs w:val="20"/>
        </w:rPr>
        <w:t xml:space="preserve"> and ACLR suggestions</w:t>
      </w:r>
      <w:r w:rsidR="00FE2C9F">
        <w:rPr>
          <w:rFonts w:ascii="Times New Roman" w:hAnsi="Times New Roman"/>
          <w:color w:val="000000"/>
          <w:szCs w:val="20"/>
        </w:rPr>
        <w:t xml:space="preserve"> for </w:t>
      </w:r>
      <w:r w:rsidR="00EE5176">
        <w:rPr>
          <w:rFonts w:ascii="Times New Roman" w:hAnsi="Times New Roman" w:hint="eastAsia"/>
          <w:color w:val="000000"/>
          <w:szCs w:val="20"/>
        </w:rPr>
        <w:t>c</w:t>
      </w:r>
      <w:r w:rsidR="00EE5176">
        <w:rPr>
          <w:rFonts w:ascii="Times New Roman" w:hAnsi="Times New Roman"/>
          <w:color w:val="000000"/>
          <w:szCs w:val="20"/>
        </w:rPr>
        <w:t>o-ex scenario</w:t>
      </w:r>
      <w:r w:rsidR="00FE2C9F">
        <w:rPr>
          <w:rFonts w:ascii="Times New Roman" w:hAnsi="Times New Roman"/>
          <w:color w:val="000000"/>
          <w:szCs w:val="20"/>
        </w:rPr>
        <w:t xml:space="preserve"> 3 and </w:t>
      </w:r>
      <w:r w:rsidR="00EE5176">
        <w:rPr>
          <w:rFonts w:ascii="Times New Roman" w:hAnsi="Times New Roman"/>
          <w:color w:val="000000"/>
          <w:szCs w:val="20"/>
        </w:rPr>
        <w:t>scenario</w:t>
      </w:r>
      <w:r w:rsidR="00FE2C9F">
        <w:rPr>
          <w:rFonts w:ascii="Times New Roman" w:hAnsi="Times New Roman"/>
          <w:color w:val="000000"/>
          <w:szCs w:val="20"/>
        </w:rPr>
        <w:t xml:space="preserve"> 4</w:t>
      </w:r>
      <w:r w:rsidR="002710F6">
        <w:rPr>
          <w:rFonts w:ascii="Times New Roman" w:hAnsi="Times New Roman"/>
          <w:color w:val="000000"/>
          <w:szCs w:val="20"/>
        </w:rPr>
        <w:t>.</w:t>
      </w:r>
    </w:p>
    <w:p w:rsidR="005C142B" w:rsidRDefault="005C142B" w:rsidP="005C142B">
      <w:pPr>
        <w:pStyle w:val="Heading1"/>
      </w:pPr>
      <w:r>
        <w:t>ACIR model considerations in UL cases</w:t>
      </w:r>
    </w:p>
    <w:p w:rsidR="005C142B" w:rsidRPr="005C142B" w:rsidRDefault="005C142B" w:rsidP="005C142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In the output doc of 100-e meeting, it is agreed to use 30+X and 43+X for ACIR analysis in NR-NTN co-ex study. However, we find it only considered the case when aggressor and victim bandwidth are the same, but </w:t>
      </w:r>
      <w:r w:rsidR="004866EF">
        <w:rPr>
          <w:rFonts w:ascii="Times New Roman" w:hAnsi="Times New Roman"/>
          <w:color w:val="000000"/>
          <w:szCs w:val="20"/>
        </w:rPr>
        <w:t>did not describe</w:t>
      </w:r>
      <w:r>
        <w:rPr>
          <w:rFonts w:ascii="Times New Roman" w:hAnsi="Times New Roman"/>
          <w:color w:val="000000"/>
          <w:szCs w:val="20"/>
        </w:rPr>
        <w:t xml:space="preserve"> asymmetrical</w:t>
      </w:r>
      <w:r w:rsidR="004866EF">
        <w:rPr>
          <w:rFonts w:ascii="Times New Roman" w:hAnsi="Times New Roman"/>
          <w:color w:val="000000"/>
          <w:szCs w:val="20"/>
        </w:rPr>
        <w:t xml:space="preserve"> bandwidth</w:t>
      </w:r>
      <w:r>
        <w:rPr>
          <w:rFonts w:ascii="Times New Roman" w:hAnsi="Times New Roman"/>
          <w:color w:val="000000"/>
          <w:szCs w:val="20"/>
        </w:rPr>
        <w:t xml:space="preserve"> cases. Hence, we would like to </w:t>
      </w:r>
      <w:r w:rsidR="00C72FC9">
        <w:rPr>
          <w:rFonts w:ascii="Times New Roman" w:hAnsi="Times New Roman"/>
          <w:color w:val="000000"/>
          <w:szCs w:val="20"/>
        </w:rPr>
        <w:t xml:space="preserve">discuss the asymmetrical cases first in this </w:t>
      </w:r>
      <w:r w:rsidR="004866EF">
        <w:rPr>
          <w:rFonts w:ascii="Times New Roman" w:hAnsi="Times New Roman"/>
          <w:color w:val="000000"/>
          <w:szCs w:val="20"/>
        </w:rPr>
        <w:t>section</w:t>
      </w:r>
      <w:r>
        <w:rPr>
          <w:rFonts w:ascii="Times New Roman" w:hAnsi="Times New Roman"/>
          <w:color w:val="000000"/>
          <w:szCs w:val="20"/>
        </w:rPr>
        <w:t>.</w:t>
      </w:r>
    </w:p>
    <w:p w:rsidR="005C142B" w:rsidRDefault="005C142B" w:rsidP="005C142B">
      <w:pPr>
        <w:pStyle w:val="Heading2"/>
        <w:numPr>
          <w:ilvl w:val="1"/>
          <w:numId w:val="8"/>
        </w:numPr>
      </w:pPr>
      <w:r>
        <w:t>Aggressor and victim bandwidt</w:t>
      </w:r>
      <w:bookmarkStart w:id="0" w:name="_GoBack"/>
      <w:bookmarkEnd w:id="0"/>
      <w:r>
        <w:t xml:space="preserve">hs are </w:t>
      </w:r>
      <w:r w:rsidRPr="005C142B">
        <w:rPr>
          <w:rFonts w:hint="eastAsia"/>
        </w:rPr>
        <w:t>a</w:t>
      </w:r>
      <w:r>
        <w:t>symmetrical</w:t>
      </w:r>
    </w:p>
    <w:p w:rsidR="00495363" w:rsidRDefault="00495363" w:rsidP="00495363">
      <w:pPr>
        <w:rPr>
          <w:rFonts w:ascii="Times New Roman" w:hAnsi="Times New Roman"/>
          <w:color w:val="000000"/>
          <w:szCs w:val="20"/>
        </w:rPr>
      </w:pPr>
      <w:r w:rsidRPr="00495363">
        <w:rPr>
          <w:rFonts w:ascii="Times New Roman" w:hAnsi="Times New Roman"/>
          <w:color w:val="000000"/>
          <w:szCs w:val="20"/>
        </w:rPr>
        <w:t xml:space="preserve">Consider the scenario </w:t>
      </w:r>
      <w:r>
        <w:rPr>
          <w:rFonts w:ascii="Times New Roman" w:hAnsi="Times New Roman"/>
          <w:color w:val="000000"/>
          <w:szCs w:val="20"/>
        </w:rPr>
        <w:t>of co-ex between NTN</w:t>
      </w:r>
      <w:r w:rsidR="00580E6B"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Cs w:val="20"/>
        </w:rPr>
        <w:t>UL and TN UL,</w:t>
      </w:r>
      <w:r w:rsidRPr="00495363">
        <w:rPr>
          <w:rFonts w:ascii="Times New Roman" w:hAnsi="Times New Roman"/>
          <w:color w:val="000000"/>
          <w:szCs w:val="20"/>
        </w:rPr>
        <w:t xml:space="preserve"> the interference experienced by UE1 will caused by a mixture of </w:t>
      </w:r>
      <w:r w:rsidR="00C72FC9">
        <w:rPr>
          <w:rFonts w:ascii="Times New Roman" w:hAnsi="Times New Roman"/>
          <w:color w:val="000000"/>
          <w:szCs w:val="20"/>
        </w:rPr>
        <w:t>ACIR</w:t>
      </w:r>
      <w:r w:rsidRPr="00495363">
        <w:rPr>
          <w:rFonts w:ascii="Times New Roman" w:hAnsi="Times New Roman"/>
          <w:color w:val="000000"/>
          <w:szCs w:val="20"/>
        </w:rPr>
        <w:t xml:space="preserve"> 30 + X - </w:t>
      </w:r>
      <w:r>
        <w:rPr>
          <w:rFonts w:ascii="Times New Roman" w:hAnsi="Times New Roman"/>
          <w:color w:val="000000"/>
          <w:szCs w:val="20"/>
        </w:rPr>
        <w:t>F</w:t>
      </w:r>
      <w:r w:rsidR="00C72FC9" w:rsidRPr="00C72FC9">
        <w:rPr>
          <w:rFonts w:ascii="Times New Roman" w:hAnsi="Times New Roman"/>
          <w:color w:val="000000"/>
          <w:szCs w:val="20"/>
          <w:vertAlign w:val="subscript"/>
        </w:rPr>
        <w:t>ACIR</w:t>
      </w:r>
      <w:r>
        <w:rPr>
          <w:rFonts w:ascii="Times New Roman" w:hAnsi="Times New Roman"/>
          <w:color w:val="000000"/>
          <w:szCs w:val="20"/>
        </w:rPr>
        <w:t xml:space="preserve"> and </w:t>
      </w:r>
      <w:r w:rsidR="00C72FC9">
        <w:rPr>
          <w:rFonts w:ascii="Times New Roman" w:hAnsi="Times New Roman"/>
          <w:color w:val="000000"/>
          <w:szCs w:val="20"/>
        </w:rPr>
        <w:t>ACIR</w:t>
      </w:r>
      <w:r>
        <w:rPr>
          <w:rFonts w:ascii="Times New Roman" w:hAnsi="Times New Roman"/>
          <w:color w:val="000000"/>
          <w:szCs w:val="20"/>
        </w:rPr>
        <w:t xml:space="preserve"> 43 + X - F</w:t>
      </w:r>
      <w:r w:rsidR="00C72FC9" w:rsidRPr="00C72FC9">
        <w:rPr>
          <w:rFonts w:ascii="Times New Roman" w:hAnsi="Times New Roman"/>
          <w:color w:val="000000"/>
          <w:szCs w:val="20"/>
          <w:vertAlign w:val="subscript"/>
        </w:rPr>
        <w:t>ACIR</w:t>
      </w:r>
      <w:r>
        <w:rPr>
          <w:rFonts w:ascii="Times New Roman" w:hAnsi="Times New Roman"/>
          <w:color w:val="000000"/>
          <w:szCs w:val="20"/>
        </w:rPr>
        <w:t xml:space="preserve">. </w:t>
      </w:r>
      <w:r w:rsidRPr="00495363">
        <w:rPr>
          <w:rFonts w:ascii="Times New Roman" w:hAnsi="Times New Roman"/>
          <w:color w:val="000000"/>
          <w:szCs w:val="20"/>
        </w:rPr>
        <w:t xml:space="preserve">For victim UE2 and UE3, the interference is </w:t>
      </w:r>
      <w:r>
        <w:rPr>
          <w:rFonts w:ascii="Times New Roman" w:hAnsi="Times New Roman"/>
          <w:color w:val="000000"/>
          <w:szCs w:val="20"/>
        </w:rPr>
        <w:t xml:space="preserve">caused by </w:t>
      </w:r>
      <w:r w:rsidR="00C72FC9">
        <w:rPr>
          <w:rFonts w:ascii="Times New Roman" w:hAnsi="Times New Roman"/>
          <w:color w:val="000000"/>
          <w:szCs w:val="20"/>
        </w:rPr>
        <w:t>ACIR 43 + X – F</w:t>
      </w:r>
      <w:r w:rsidR="00C72FC9" w:rsidRPr="00C72FC9">
        <w:rPr>
          <w:rFonts w:ascii="Times New Roman" w:hAnsi="Times New Roman"/>
          <w:color w:val="000000"/>
          <w:szCs w:val="20"/>
          <w:vertAlign w:val="subscript"/>
        </w:rPr>
        <w:t>A</w:t>
      </w:r>
      <w:r w:rsidRPr="00C72FC9">
        <w:rPr>
          <w:rFonts w:ascii="Times New Roman" w:hAnsi="Times New Roman"/>
          <w:color w:val="000000"/>
          <w:szCs w:val="20"/>
          <w:vertAlign w:val="subscript"/>
        </w:rPr>
        <w:t>C</w:t>
      </w:r>
      <w:r w:rsidR="00C72FC9" w:rsidRPr="00C72FC9">
        <w:rPr>
          <w:rFonts w:ascii="Times New Roman" w:hAnsi="Times New Roman"/>
          <w:color w:val="000000"/>
          <w:szCs w:val="20"/>
          <w:vertAlign w:val="subscript"/>
        </w:rPr>
        <w:t>I</w:t>
      </w:r>
      <w:r w:rsidRPr="00C72FC9">
        <w:rPr>
          <w:rFonts w:ascii="Times New Roman" w:hAnsi="Times New Roman"/>
          <w:color w:val="000000"/>
          <w:szCs w:val="20"/>
          <w:vertAlign w:val="subscript"/>
        </w:rPr>
        <w:t>R</w:t>
      </w:r>
      <w:r>
        <w:rPr>
          <w:rFonts w:ascii="Times New Roman" w:hAnsi="Times New Roman"/>
          <w:color w:val="000000"/>
          <w:szCs w:val="20"/>
        </w:rPr>
        <w:t xml:space="preserve">. </w:t>
      </w:r>
      <w:r w:rsidRPr="00495363">
        <w:rPr>
          <w:rFonts w:ascii="Times New Roman" w:hAnsi="Times New Roman"/>
          <w:color w:val="000000"/>
          <w:szCs w:val="20"/>
        </w:rPr>
        <w:t xml:space="preserve">The effective interference onto UE1 is dependent upon the aggressor and victim bandwidths. </w:t>
      </w:r>
    </w:p>
    <w:p w:rsidR="00C72FC9" w:rsidRPr="00C72FC9" w:rsidRDefault="00495363" w:rsidP="00495363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Then for victim UE1 in this case, we need to use </w:t>
      </w:r>
      <w:r w:rsidR="00C72FC9">
        <w:rPr>
          <w:rFonts w:ascii="Times New Roman" w:hAnsi="Times New Roman"/>
          <w:color w:val="000000"/>
          <w:szCs w:val="20"/>
        </w:rPr>
        <w:t>ACIR</w:t>
      </w:r>
      <w:r>
        <w:rPr>
          <w:rFonts w:ascii="Times New Roman" w:hAnsi="Times New Roman"/>
          <w:color w:val="000000"/>
          <w:szCs w:val="20"/>
        </w:rPr>
        <w:t xml:space="preserve"> = </w:t>
      </w:r>
      <w:r w:rsidR="00BC31D7">
        <w:rPr>
          <w:rFonts w:ascii="Times New Roman" w:hAnsi="Times New Roman"/>
          <w:color w:val="000000"/>
          <w:szCs w:val="20"/>
        </w:rPr>
        <w:t>39.94</w:t>
      </w:r>
      <w:r w:rsidR="00C72FC9">
        <w:rPr>
          <w:rFonts w:ascii="Times New Roman" w:hAnsi="Times New Roman"/>
          <w:color w:val="000000"/>
          <w:szCs w:val="20"/>
        </w:rPr>
        <w:t xml:space="preserve"> + X – F</w:t>
      </w:r>
      <w:r w:rsidR="00C72FC9" w:rsidRPr="00C72FC9">
        <w:rPr>
          <w:rFonts w:ascii="Times New Roman" w:hAnsi="Times New Roman"/>
          <w:color w:val="000000"/>
          <w:szCs w:val="20"/>
          <w:vertAlign w:val="subscript"/>
        </w:rPr>
        <w:t>ACIR</w:t>
      </w:r>
      <w:r w:rsidR="00C72FC9">
        <w:rPr>
          <w:rFonts w:ascii="Times New Roman" w:hAnsi="Times New Roman"/>
          <w:color w:val="000000"/>
          <w:szCs w:val="20"/>
        </w:rPr>
        <w:t xml:space="preserve"> instead of 30 + X – F</w:t>
      </w:r>
      <w:r w:rsidR="00C72FC9" w:rsidRPr="00C72FC9">
        <w:rPr>
          <w:rFonts w:ascii="Times New Roman" w:hAnsi="Times New Roman"/>
          <w:color w:val="000000"/>
          <w:szCs w:val="20"/>
          <w:vertAlign w:val="subscript"/>
        </w:rPr>
        <w:t>ACIR</w:t>
      </w:r>
      <w:r w:rsidR="00C72FC9">
        <w:rPr>
          <w:rFonts w:ascii="Times New Roman" w:hAnsi="Times New Roman"/>
          <w:color w:val="000000"/>
          <w:szCs w:val="20"/>
        </w:rPr>
        <w:t>, where F</w:t>
      </w:r>
      <w:r w:rsidR="00C72FC9" w:rsidRPr="00C72FC9">
        <w:rPr>
          <w:rFonts w:ascii="Times New Roman" w:hAnsi="Times New Roman"/>
          <w:color w:val="000000"/>
          <w:szCs w:val="20"/>
          <w:vertAlign w:val="subscript"/>
        </w:rPr>
        <w:t>ACIR</w:t>
      </w:r>
      <w:r w:rsidR="00C72FC9">
        <w:rPr>
          <w:rFonts w:ascii="Times New Roman" w:hAnsi="Times New Roman"/>
          <w:color w:val="000000"/>
          <w:szCs w:val="20"/>
        </w:rPr>
        <w:t xml:space="preserve"> = </w:t>
      </w:r>
      <w:r w:rsidR="00C72FC9" w:rsidRPr="00C72FC9">
        <w:rPr>
          <w:rFonts w:ascii="Times New Roman" w:hAnsi="Times New Roman"/>
          <w:color w:val="000000"/>
          <w:szCs w:val="20"/>
        </w:rPr>
        <w:t>10 × LOG</w:t>
      </w:r>
      <w:r w:rsidR="00C72FC9" w:rsidRPr="00C72FC9">
        <w:rPr>
          <w:rFonts w:ascii="Times New Roman" w:hAnsi="Times New Roman"/>
          <w:color w:val="000000"/>
          <w:szCs w:val="20"/>
          <w:vertAlign w:val="subscript"/>
        </w:rPr>
        <w:t>10</w:t>
      </w:r>
      <w:r w:rsidR="00C72FC9" w:rsidRPr="00C72FC9">
        <w:rPr>
          <w:rFonts w:ascii="Times New Roman" w:hAnsi="Times New Roman"/>
          <w:color w:val="000000"/>
          <w:szCs w:val="20"/>
        </w:rPr>
        <w:t>(</w:t>
      </w:r>
      <w:r w:rsidR="00C72FC9" w:rsidRPr="00C72FC9">
        <w:rPr>
          <w:rFonts w:ascii="Times New Roman" w:hAnsi="Times New Roman" w:hint="eastAsia"/>
          <w:color w:val="000000"/>
          <w:szCs w:val="20"/>
        </w:rPr>
        <w:t>B</w:t>
      </w:r>
      <w:r w:rsidR="00157A1D">
        <w:rPr>
          <w:rFonts w:ascii="Times New Roman" w:hAnsi="Times New Roman"/>
          <w:color w:val="000000"/>
          <w:szCs w:val="20"/>
        </w:rPr>
        <w:t>W</w:t>
      </w:r>
      <w:r w:rsidR="00C72FC9" w:rsidRPr="00C72FC9">
        <w:rPr>
          <w:rFonts w:ascii="Times New Roman" w:hAnsi="Times New Roman" w:hint="eastAsia"/>
          <w:color w:val="000000"/>
          <w:szCs w:val="20"/>
          <w:vertAlign w:val="subscript"/>
        </w:rPr>
        <w:t>victim</w:t>
      </w:r>
      <w:r w:rsidR="00C72FC9" w:rsidRPr="00C72FC9">
        <w:rPr>
          <w:rFonts w:ascii="Times New Roman" w:hAnsi="Times New Roman" w:hint="eastAsia"/>
          <w:color w:val="000000"/>
          <w:szCs w:val="20"/>
        </w:rPr>
        <w:t>/</w:t>
      </w:r>
      <w:r w:rsidR="00C72FC9" w:rsidRPr="00C72FC9">
        <w:rPr>
          <w:rFonts w:ascii="Times New Roman" w:hAnsi="Times New Roman"/>
          <w:color w:val="000000"/>
          <w:szCs w:val="20"/>
        </w:rPr>
        <w:t>B</w:t>
      </w:r>
      <w:r w:rsidR="00157A1D">
        <w:rPr>
          <w:rFonts w:ascii="Times New Roman" w:hAnsi="Times New Roman"/>
          <w:color w:val="000000"/>
          <w:szCs w:val="20"/>
        </w:rPr>
        <w:t>W</w:t>
      </w:r>
      <w:r w:rsidR="00C72FC9" w:rsidRPr="00C72FC9">
        <w:rPr>
          <w:rFonts w:ascii="Times New Roman" w:hAnsi="Times New Roman"/>
          <w:color w:val="000000"/>
          <w:szCs w:val="20"/>
          <w:vertAlign w:val="subscript"/>
        </w:rPr>
        <w:t>Aggressor</w:t>
      </w:r>
      <w:r w:rsidR="00C72FC9" w:rsidRPr="00C72FC9">
        <w:rPr>
          <w:rFonts w:ascii="Times New Roman" w:hAnsi="Times New Roman"/>
          <w:color w:val="000000"/>
          <w:szCs w:val="20"/>
        </w:rPr>
        <w:t>)</w:t>
      </w:r>
    </w:p>
    <w:bookmarkStart w:id="1" w:name="_MON_1283167521"/>
    <w:bookmarkEnd w:id="1"/>
    <w:p w:rsidR="005C142B" w:rsidRPr="005C142B" w:rsidRDefault="004B6014" w:rsidP="005C142B">
      <w:pPr>
        <w:rPr>
          <w:rFonts w:ascii="Times New Roman" w:hAnsi="Times New Roman"/>
          <w:color w:val="000000"/>
          <w:szCs w:val="20"/>
          <w:lang w:val="en-GB"/>
        </w:rPr>
      </w:pPr>
      <w:r w:rsidRPr="007F4011">
        <w:object w:dxaOrig="9175" w:dyaOrig="48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244.5pt" o:ole="">
            <v:imagedata r:id="rId9" o:title=""/>
          </v:shape>
          <o:OLEObject Type="Embed" ProgID="Word.Picture.8" ShapeID="_x0000_i1025" DrawAspect="Content" ObjectID="_1696405480" r:id="rId10"/>
        </w:object>
      </w:r>
    </w:p>
    <w:p w:rsidR="005C142B" w:rsidRPr="004B6014" w:rsidRDefault="00BC31D7" w:rsidP="005C142B">
      <w:pPr>
        <w:rPr>
          <w:rFonts w:ascii="Times New Roman" w:hAnsi="Times New Roman"/>
          <w:b/>
          <w:color w:val="000000"/>
          <w:szCs w:val="20"/>
        </w:rPr>
      </w:pPr>
      <w:r w:rsidRPr="004B6014">
        <w:rPr>
          <w:rFonts w:ascii="Times New Roman" w:hAnsi="Times New Roman"/>
          <w:b/>
          <w:color w:val="000000"/>
          <w:szCs w:val="20"/>
        </w:rPr>
        <w:lastRenderedPageBreak/>
        <w:t>Proposal</w:t>
      </w:r>
      <w:r w:rsidR="004B6014" w:rsidRPr="004B6014">
        <w:rPr>
          <w:rFonts w:ascii="Times New Roman" w:hAnsi="Times New Roman" w:hint="eastAsia"/>
          <w:b/>
          <w:color w:val="000000"/>
          <w:szCs w:val="20"/>
        </w:rPr>
        <w:t xml:space="preserve"> </w:t>
      </w:r>
      <w:r w:rsidR="004B6014" w:rsidRPr="004B6014">
        <w:rPr>
          <w:rFonts w:ascii="Times New Roman" w:hAnsi="Times New Roman"/>
          <w:b/>
          <w:color w:val="000000"/>
          <w:szCs w:val="20"/>
        </w:rPr>
        <w:t>1</w:t>
      </w:r>
      <w:r w:rsidR="004B6014" w:rsidRPr="004B6014">
        <w:rPr>
          <w:rFonts w:ascii="Times New Roman" w:hAnsi="Times New Roman"/>
          <w:color w:val="000000"/>
          <w:szCs w:val="20"/>
        </w:rPr>
        <w:t xml:space="preserve">: to clarify the UL ACIR model when NTN UE and NR UE are transmitting in asymmetrical bandwidth. For victim UE1 in this </w:t>
      </w:r>
      <w:r w:rsidR="00EE5176">
        <w:rPr>
          <w:rFonts w:ascii="Times New Roman" w:hAnsi="Times New Roman"/>
          <w:color w:val="000000"/>
          <w:szCs w:val="20"/>
        </w:rPr>
        <w:t>scenario</w:t>
      </w:r>
      <w:r w:rsidR="004B6014" w:rsidRPr="004B6014">
        <w:rPr>
          <w:rFonts w:ascii="Times New Roman" w:hAnsi="Times New Roman"/>
          <w:color w:val="000000"/>
          <w:szCs w:val="20"/>
        </w:rPr>
        <w:t xml:space="preserve"> 4, NTN UL interfering TN UL, we need to use ACIR = 39.94 + X – F</w:t>
      </w:r>
      <w:r w:rsidR="004B6014" w:rsidRPr="004B6014">
        <w:rPr>
          <w:rFonts w:ascii="Times New Roman" w:hAnsi="Times New Roman"/>
          <w:color w:val="000000"/>
          <w:szCs w:val="20"/>
          <w:vertAlign w:val="subscript"/>
        </w:rPr>
        <w:t>ACIR</w:t>
      </w:r>
      <w:r w:rsidR="004B6014" w:rsidRPr="004B6014">
        <w:rPr>
          <w:rFonts w:ascii="Times New Roman" w:hAnsi="Times New Roman"/>
          <w:color w:val="000000"/>
          <w:szCs w:val="20"/>
        </w:rPr>
        <w:t xml:space="preserve"> instead of 30 + X – F</w:t>
      </w:r>
      <w:r w:rsidR="004B6014" w:rsidRPr="004B6014">
        <w:rPr>
          <w:rFonts w:ascii="Times New Roman" w:hAnsi="Times New Roman"/>
          <w:color w:val="000000"/>
          <w:szCs w:val="20"/>
          <w:vertAlign w:val="subscript"/>
        </w:rPr>
        <w:t>ACIR</w:t>
      </w:r>
      <w:r w:rsidR="004B6014" w:rsidRPr="004B6014">
        <w:rPr>
          <w:rFonts w:ascii="Times New Roman" w:hAnsi="Times New Roman"/>
          <w:color w:val="000000"/>
          <w:szCs w:val="20"/>
        </w:rPr>
        <w:t>, where F</w:t>
      </w:r>
      <w:r w:rsidR="004B6014" w:rsidRPr="004B6014">
        <w:rPr>
          <w:rFonts w:ascii="Times New Roman" w:hAnsi="Times New Roman"/>
          <w:color w:val="000000"/>
          <w:szCs w:val="20"/>
          <w:vertAlign w:val="subscript"/>
        </w:rPr>
        <w:t>ACIR</w:t>
      </w:r>
      <w:r w:rsidR="004B6014" w:rsidRPr="004B6014">
        <w:rPr>
          <w:rFonts w:ascii="Times New Roman" w:hAnsi="Times New Roman"/>
          <w:color w:val="000000"/>
          <w:szCs w:val="20"/>
        </w:rPr>
        <w:t xml:space="preserve"> = 10 × LOG</w:t>
      </w:r>
      <w:r w:rsidR="004B6014" w:rsidRPr="004B6014">
        <w:rPr>
          <w:rFonts w:ascii="Times New Roman" w:hAnsi="Times New Roman"/>
          <w:color w:val="000000"/>
          <w:szCs w:val="20"/>
          <w:vertAlign w:val="subscript"/>
        </w:rPr>
        <w:t>10</w:t>
      </w:r>
      <w:r w:rsidR="004B6014" w:rsidRPr="004B6014">
        <w:rPr>
          <w:rFonts w:ascii="Times New Roman" w:hAnsi="Times New Roman"/>
          <w:color w:val="000000"/>
          <w:szCs w:val="20"/>
        </w:rPr>
        <w:t>(</w:t>
      </w:r>
      <w:r w:rsidR="004B6014" w:rsidRPr="004B6014">
        <w:rPr>
          <w:rFonts w:ascii="Times New Roman" w:hAnsi="Times New Roman" w:hint="eastAsia"/>
          <w:color w:val="000000"/>
          <w:szCs w:val="20"/>
        </w:rPr>
        <w:t>B</w:t>
      </w:r>
      <w:r w:rsidR="004B6014" w:rsidRPr="004B6014">
        <w:rPr>
          <w:rFonts w:ascii="Times New Roman" w:hAnsi="Times New Roman"/>
          <w:color w:val="000000"/>
          <w:szCs w:val="20"/>
        </w:rPr>
        <w:t>W</w:t>
      </w:r>
      <w:r w:rsidR="004B6014" w:rsidRPr="004B6014">
        <w:rPr>
          <w:rFonts w:ascii="Times New Roman" w:hAnsi="Times New Roman" w:hint="eastAsia"/>
          <w:color w:val="000000"/>
          <w:szCs w:val="20"/>
          <w:vertAlign w:val="subscript"/>
        </w:rPr>
        <w:t>victim</w:t>
      </w:r>
      <w:r w:rsidR="004B6014" w:rsidRPr="004B6014">
        <w:rPr>
          <w:rFonts w:ascii="Times New Roman" w:hAnsi="Times New Roman" w:hint="eastAsia"/>
          <w:color w:val="000000"/>
          <w:szCs w:val="20"/>
        </w:rPr>
        <w:t>/</w:t>
      </w:r>
      <w:r w:rsidR="004B6014" w:rsidRPr="004B6014">
        <w:rPr>
          <w:rFonts w:ascii="Times New Roman" w:hAnsi="Times New Roman"/>
          <w:color w:val="000000"/>
          <w:szCs w:val="20"/>
        </w:rPr>
        <w:t>BW</w:t>
      </w:r>
      <w:r w:rsidR="004B6014" w:rsidRPr="004B6014">
        <w:rPr>
          <w:rFonts w:ascii="Times New Roman" w:hAnsi="Times New Roman"/>
          <w:color w:val="000000"/>
          <w:szCs w:val="20"/>
          <w:vertAlign w:val="subscript"/>
        </w:rPr>
        <w:t>Aggressor</w:t>
      </w:r>
      <w:r w:rsidR="004B6014" w:rsidRPr="004B6014">
        <w:rPr>
          <w:rFonts w:ascii="Times New Roman" w:hAnsi="Times New Roman"/>
          <w:color w:val="000000"/>
          <w:szCs w:val="20"/>
        </w:rPr>
        <w:t xml:space="preserve">). And for </w:t>
      </w:r>
      <w:r w:rsidR="00EE5176">
        <w:rPr>
          <w:rFonts w:ascii="Times New Roman" w:hAnsi="Times New Roman"/>
          <w:color w:val="000000"/>
          <w:szCs w:val="20"/>
        </w:rPr>
        <w:t>scenario</w:t>
      </w:r>
      <w:r w:rsidR="004B6014" w:rsidRPr="004B6014">
        <w:rPr>
          <w:rFonts w:ascii="Times New Roman" w:hAnsi="Times New Roman"/>
          <w:color w:val="000000"/>
          <w:szCs w:val="20"/>
        </w:rPr>
        <w:t xml:space="preserve"> 2, use similar principle to derive ACIR for victim UE1.</w:t>
      </w:r>
    </w:p>
    <w:p w:rsidR="005C142B" w:rsidRPr="005C142B" w:rsidRDefault="005C142B" w:rsidP="005C142B">
      <w:pPr>
        <w:rPr>
          <w:lang w:val="en-GB" w:eastAsia="en-US"/>
        </w:rPr>
      </w:pPr>
    </w:p>
    <w:p w:rsidR="005C142B" w:rsidRDefault="005C142B" w:rsidP="005C142B">
      <w:pPr>
        <w:pStyle w:val="Heading1"/>
      </w:pPr>
      <w:r>
        <w:t>Co-ex study initial results</w:t>
      </w:r>
    </w:p>
    <w:p w:rsidR="00FE0608" w:rsidRPr="00672394" w:rsidRDefault="00EE5176" w:rsidP="005C142B">
      <w:pPr>
        <w:pStyle w:val="Heading2"/>
        <w:numPr>
          <w:ilvl w:val="1"/>
          <w:numId w:val="1"/>
        </w:numPr>
      </w:pPr>
      <w:r>
        <w:t>Scenario</w:t>
      </w:r>
      <w:r w:rsidR="004B6014">
        <w:t xml:space="preserve"> 3: </w:t>
      </w:r>
      <w:r w:rsidR="00FE0608">
        <w:t xml:space="preserve">NTN DL </w:t>
      </w:r>
      <w:r w:rsidR="004B6014">
        <w:t>interfering TN DL</w:t>
      </w:r>
    </w:p>
    <w:p w:rsidR="00FE0608" w:rsidRPr="007614B2" w:rsidRDefault="00FE0608" w:rsidP="00FE0608">
      <w:r>
        <w:t>For LEO 600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LEO 600 DL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Urban DL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1.55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1.18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0.80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0.08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15.15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6.41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2.36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0.80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1.88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0.59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0.19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</w:tbl>
    <w:p w:rsidR="00FE0608" w:rsidRDefault="00FE0608" w:rsidP="00FE0608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LEO 600 DL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Rural</w:t>
            </w: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D</w:t>
            </w: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34.10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20.05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9.52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3.72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1.28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0.42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22.74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10.38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3.94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1.34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0.44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0.14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73.68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47.57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22.90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8.77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2.96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0.96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5.24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1.71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0.55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59.18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39.03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20.51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8.56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3.04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1.00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21.11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9.92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3.87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1.34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0.44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0.14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85.02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63.90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35.84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15.03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5.28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1.74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66.82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38.03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15.92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5.60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1.84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0.59</w:t>
            </w:r>
          </w:p>
        </w:tc>
      </w:tr>
    </w:tbl>
    <w:p w:rsidR="00FE0608" w:rsidRDefault="00FE0608" w:rsidP="00FE0608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FE0608" w:rsidRPr="007614B2" w:rsidRDefault="00FE0608" w:rsidP="00FE0608">
      <w:r>
        <w:t>For LEO 1200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LEO 1200 DL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Urban DL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1.62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0.18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0.84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0.08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15.57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6.61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2.44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0.82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1.97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0.61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0.20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</w:tbl>
    <w:p w:rsidR="00FE0608" w:rsidRDefault="00FE0608" w:rsidP="00FE0608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LEO 1200 DL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Rural</w:t>
            </w: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D</w:t>
            </w: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35.52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21.20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10.20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4.01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1.34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0.45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24.11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11.15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4.26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1.45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0.47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0.15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75.13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49.47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24.30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9.41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3.21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1.04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16.14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5.71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1.87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0.60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61.37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41.34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22.18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9.37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3.36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1.11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22.35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10.63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4.18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1.45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0.47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0.15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85.99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65.68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37.67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16.06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5.71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1.88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68.61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40.09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17.10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6.09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0.64</w:t>
            </w:r>
          </w:p>
        </w:tc>
      </w:tr>
    </w:tbl>
    <w:p w:rsidR="00FE0608" w:rsidRDefault="00FE0608" w:rsidP="00FE0608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FE0608" w:rsidRPr="007614B2" w:rsidRDefault="00FE0608" w:rsidP="00FE0608">
      <w:r>
        <w:t>For GEO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GEO DL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Urban DL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2.15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0.73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0.23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</w:tbl>
    <w:p w:rsidR="00FE0608" w:rsidRDefault="00FE0608" w:rsidP="00FE0608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GEO DL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Rural</w:t>
            </w: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D</w:t>
            </w: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9.36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3.62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1.24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0.40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3.84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1.30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0.42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22.27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8.49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2.88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0.93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0.30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14.64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5.11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1.67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0.05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20.59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8.51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3.01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0.99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0.32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0.10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3.78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1.30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0.42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34.99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14.58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5.13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1.68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0.17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15.53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5.46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1.79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9535D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0.06</w:t>
            </w:r>
          </w:p>
        </w:tc>
      </w:tr>
    </w:tbl>
    <w:p w:rsidR="00FE0608" w:rsidRDefault="00FE0608" w:rsidP="00FE0608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71401" w:rsidRDefault="00071401" w:rsidP="00A34121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  <w:lang w:eastAsia="en-US"/>
        </w:rPr>
        <w:lastRenderedPageBreak/>
        <w:drawing>
          <wp:inline distT="0" distB="0" distL="0" distR="0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E0608" w:rsidRPr="00FE0608" w:rsidRDefault="00EE5176" w:rsidP="00FE0608">
      <w:pPr>
        <w:pStyle w:val="Heading2"/>
        <w:numPr>
          <w:ilvl w:val="1"/>
          <w:numId w:val="1"/>
        </w:numPr>
      </w:pPr>
      <w:r>
        <w:t>Scenario</w:t>
      </w:r>
      <w:r w:rsidR="004B6014">
        <w:t xml:space="preserve"> 4: NTN UL interfering TN UL</w:t>
      </w:r>
    </w:p>
    <w:p w:rsidR="00FE0608" w:rsidRPr="007614B2" w:rsidRDefault="00FE0608" w:rsidP="00FE0608">
      <w:pPr>
        <w:rPr>
          <w:lang w:val="en-GB" w:eastAsia="en-US"/>
        </w:rPr>
      </w:pPr>
      <w:r>
        <w:rPr>
          <w:lang w:val="en-GB" w:eastAsia="en-US"/>
        </w:rPr>
        <w:t>For LEO 600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0dBi UE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Urban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17.88</w:t>
            </w:r>
          </w:p>
        </w:tc>
        <w:tc>
          <w:tcPr>
            <w:tcW w:w="700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10.71</w:t>
            </w:r>
          </w:p>
        </w:tc>
        <w:tc>
          <w:tcPr>
            <w:tcW w:w="700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6.09</w:t>
            </w:r>
          </w:p>
        </w:tc>
        <w:tc>
          <w:tcPr>
            <w:tcW w:w="699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3.31</w:t>
            </w:r>
          </w:p>
        </w:tc>
        <w:tc>
          <w:tcPr>
            <w:tcW w:w="700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1.73</w:t>
            </w:r>
          </w:p>
        </w:tc>
        <w:tc>
          <w:tcPr>
            <w:tcW w:w="700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0.87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20.20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10.72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5.65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3.07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1.62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0.77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71.47</w:t>
            </w:r>
          </w:p>
        </w:tc>
        <w:tc>
          <w:tcPr>
            <w:tcW w:w="700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51.39</w:t>
            </w:r>
          </w:p>
        </w:tc>
        <w:tc>
          <w:tcPr>
            <w:tcW w:w="700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31.51</w:t>
            </w:r>
          </w:p>
        </w:tc>
        <w:tc>
          <w:tcPr>
            <w:tcW w:w="699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16.52</w:t>
            </w:r>
          </w:p>
        </w:tc>
        <w:tc>
          <w:tcPr>
            <w:tcW w:w="700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8.11</w:t>
            </w:r>
          </w:p>
        </w:tc>
        <w:tc>
          <w:tcPr>
            <w:tcW w:w="700" w:type="dxa"/>
            <w:noWrap/>
            <w:vAlign w:val="center"/>
            <w:hideMark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4.16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N/A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32.17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20.68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12.44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7.09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3.87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2.02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20.29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10.93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5.72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3.03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1.61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0.80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82.11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65.44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44.62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25.42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13.09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6.87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37.21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23.37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10.52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2.33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0.64</w:t>
            </w:r>
          </w:p>
        </w:tc>
      </w:tr>
    </w:tbl>
    <w:p w:rsidR="00FE0608" w:rsidRDefault="00FE0608" w:rsidP="00FE0608">
      <w:pPr>
        <w:rPr>
          <w:lang w:val="en-GB" w:eastAsia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0dBi UE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Rural</w:t>
            </w: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 xml:space="preserve">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lastRenderedPageBreak/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0.62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0.89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1.08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0.41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1.91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0.69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0.26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N/A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1.37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0.21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2.32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0.86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0.33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0.02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2.18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0.79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0.30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0.66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</w:tbl>
    <w:p w:rsidR="00FE0608" w:rsidRDefault="00FE0608" w:rsidP="00FE0608">
      <w:pPr>
        <w:rPr>
          <w:lang w:val="en-GB" w:eastAsia="en-US"/>
        </w:rPr>
      </w:pPr>
    </w:p>
    <w:p w:rsidR="00FE0608" w:rsidRPr="007614B2" w:rsidRDefault="00FE0608" w:rsidP="00FE0608">
      <w:pPr>
        <w:rPr>
          <w:lang w:val="en-GB" w:eastAsia="en-US"/>
        </w:rPr>
      </w:pPr>
      <w:r>
        <w:rPr>
          <w:lang w:val="en-GB" w:eastAsia="en-US"/>
        </w:rPr>
        <w:t>For LEO 1200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0dBi UE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Urban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18.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1.7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.89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.43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10.84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.72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3.1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1.6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78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71.83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51.80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31.84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16.72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4.2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N/A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32.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20.88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12.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7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7.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3.9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2.0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11.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.78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3.07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1.63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0.8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1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82.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65.82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45.01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25.71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13.</w:t>
            </w:r>
            <w:r w:rsidR="00506F67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6.96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37.51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23.67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10.72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2.4</w:t>
            </w:r>
            <w:r w:rsidR="00FE060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506F67" w:rsidP="00506F67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0.07</w:t>
            </w:r>
          </w:p>
        </w:tc>
      </w:tr>
    </w:tbl>
    <w:p w:rsidR="00FE0608" w:rsidRDefault="00FE0608" w:rsidP="00FE0608">
      <w:pPr>
        <w:rPr>
          <w:lang w:val="en-GB" w:eastAsia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0dBi UE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Rural</w:t>
            </w: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 xml:space="preserve">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0.63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0.09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1.12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0.42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1.95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0.71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0.26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N/A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1.40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0.21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2.40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0.89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0.34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0.02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2.24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0.81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0.30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0.68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</w:tbl>
    <w:p w:rsidR="00FE0608" w:rsidRDefault="00FE0608" w:rsidP="00FE0608">
      <w:pPr>
        <w:rPr>
          <w:lang w:val="en-GB" w:eastAsia="en-US"/>
        </w:rPr>
      </w:pPr>
    </w:p>
    <w:p w:rsidR="00FE0608" w:rsidRPr="007614B2" w:rsidRDefault="00FE0608" w:rsidP="00FE0608">
      <w:pPr>
        <w:rPr>
          <w:lang w:val="en-GB" w:eastAsia="en-US"/>
        </w:rPr>
      </w:pPr>
      <w:r>
        <w:rPr>
          <w:lang w:val="en-GB" w:eastAsia="en-US"/>
        </w:rPr>
        <w:t>For GEO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0dBi UE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Urban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18.05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10.83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6.16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3.35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1.75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0.89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20.44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10.85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5.72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3.10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1.65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0.78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71.83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51.85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31.83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16.77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8.22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4.22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N/A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32.45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20.88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12.57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7.17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3.92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2.05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20.52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11.06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5.79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3.07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1.63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0.81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82.37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65.88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45.01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25.78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13.26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6.97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37.56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23.74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10.78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2.41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0.07</w:t>
            </w:r>
          </w:p>
        </w:tc>
      </w:tr>
    </w:tbl>
    <w:p w:rsidR="00FE0608" w:rsidRDefault="00FE0608" w:rsidP="00FE0608">
      <w:pPr>
        <w:rPr>
          <w:lang w:val="en-GB" w:eastAsia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0dBi UE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Rural</w:t>
            </w: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 xml:space="preserve"> UL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non AAS</w:t>
            </w:r>
          </w:p>
        </w:tc>
      </w:tr>
      <w:tr w:rsidR="00E530F4" w:rsidRPr="00882B48" w:rsidTr="005C142B">
        <w:trPr>
          <w:trHeight w:val="624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0.62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0.09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1.08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0.41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1.91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0.70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0.26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0.04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N/A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 w:val="restart"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SINR</w:t>
            </w:r>
          </w:p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Loss</w:t>
            </w: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1.36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0.55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0.21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0.03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2.32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0.86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0.33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0.13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0.02</w:t>
            </w:r>
          </w:p>
        </w:tc>
      </w:tr>
      <w:tr w:rsidR="00FE0608" w:rsidRPr="00882B48" w:rsidTr="005C142B">
        <w:trPr>
          <w:trHeight w:val="624"/>
        </w:trPr>
        <w:tc>
          <w:tcPr>
            <w:tcW w:w="687" w:type="dxa"/>
            <w:vMerge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</w:tcPr>
          <w:p w:rsidR="00FE0608" w:rsidRPr="00882B48" w:rsidRDefault="00FE0608" w:rsidP="005C142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2.18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0.80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0.30</w:t>
            </w:r>
          </w:p>
        </w:tc>
        <w:tc>
          <w:tcPr>
            <w:tcW w:w="699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0.12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0.05</w:t>
            </w:r>
          </w:p>
        </w:tc>
        <w:tc>
          <w:tcPr>
            <w:tcW w:w="700" w:type="dxa"/>
            <w:noWrap/>
            <w:vAlign w:val="center"/>
          </w:tcPr>
          <w:p w:rsidR="00FE0608" w:rsidRPr="00882B48" w:rsidRDefault="00C21E08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0.67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0.26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0.08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0.02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0.01</w:t>
            </w:r>
          </w:p>
        </w:tc>
        <w:tc>
          <w:tcPr>
            <w:tcW w:w="676" w:type="dxa"/>
            <w:noWrap/>
            <w:vAlign w:val="center"/>
          </w:tcPr>
          <w:p w:rsidR="00FE0608" w:rsidRPr="00882B48" w:rsidRDefault="00EA2277" w:rsidP="005C142B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/>
              </w:rPr>
              <w:t>0.00</w:t>
            </w:r>
          </w:p>
        </w:tc>
      </w:tr>
    </w:tbl>
    <w:p w:rsidR="00FE0608" w:rsidRDefault="00FE0608" w:rsidP="00FE0608">
      <w:pPr>
        <w:rPr>
          <w:lang w:val="en-GB" w:eastAsia="en-US"/>
        </w:rPr>
      </w:pPr>
    </w:p>
    <w:p w:rsidR="00A34121" w:rsidRDefault="00A34121" w:rsidP="00A34121">
      <w:pPr>
        <w:jc w:val="center"/>
        <w:rPr>
          <w:lang w:val="en-GB" w:eastAsia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en-US"/>
        </w:rPr>
        <w:lastRenderedPageBreak/>
        <w:drawing>
          <wp:inline distT="0" distB="0" distL="0" distR="0" wp14:anchorId="51DDDF16" wp14:editId="47C4308C">
            <wp:extent cx="5486400" cy="32004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34121" w:rsidRDefault="00A34121" w:rsidP="00FE0608">
      <w:pPr>
        <w:rPr>
          <w:lang w:val="en-GB" w:eastAsia="en-US"/>
        </w:rPr>
      </w:pPr>
    </w:p>
    <w:p w:rsidR="008922F4" w:rsidRPr="008922F4" w:rsidRDefault="008922F4" w:rsidP="00310C2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Observation 1: </w:t>
      </w:r>
      <w:r>
        <w:rPr>
          <w:rFonts w:ascii="Times New Roman" w:hAnsi="Times New Roman" w:cs="Times New Roman"/>
          <w:sz w:val="20"/>
          <w:szCs w:val="20"/>
          <w:lang w:val="en-GB"/>
        </w:rPr>
        <w:t>the TN NR system parameters may need improvement, at least for non-AAS case. The current parameter set results in no throughput @5% for non-AAS BS antenna cases. However, the SINR loss shows the NTN UL interference to non-AAS antenna is similar to the impact results of AAS antenna. So, the overall results can be acceptable.</w:t>
      </w:r>
    </w:p>
    <w:p w:rsidR="00071401" w:rsidRDefault="004B6014" w:rsidP="00310C29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B6014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2: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to </w:t>
      </w:r>
      <w:r w:rsidR="00E530F4">
        <w:rPr>
          <w:rFonts w:ascii="Times New Roman" w:hAnsi="Times New Roman" w:cs="Times New Roman"/>
          <w:sz w:val="20"/>
          <w:szCs w:val="20"/>
          <w:lang w:val="en-GB"/>
        </w:rPr>
        <w:t>adopt the following table as template to summarize co-ex ACIR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results </w:t>
      </w:r>
      <w:r w:rsidR="00E530F4">
        <w:rPr>
          <w:rFonts w:ascii="Times New Roman" w:hAnsi="Times New Roman" w:cs="Times New Roman"/>
          <w:sz w:val="20"/>
          <w:szCs w:val="20"/>
          <w:lang w:val="en-GB"/>
        </w:rPr>
        <w:t>in</w:t>
      </w:r>
      <w:r w:rsidR="00FE2C9F">
        <w:rPr>
          <w:rFonts w:ascii="Times New Roman" w:hAnsi="Times New Roman" w:cs="Times New Roman"/>
          <w:sz w:val="20"/>
          <w:szCs w:val="20"/>
          <w:lang w:val="en-GB"/>
        </w:rPr>
        <w:t xml:space="preserve"> TR 38.863.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</w:tblGrid>
      <w:tr w:rsidR="00E530F4" w:rsidRPr="00882B48" w:rsidTr="00E530F4">
        <w:trPr>
          <w:trHeight w:val="624"/>
          <w:jc w:val="center"/>
        </w:trPr>
        <w:tc>
          <w:tcPr>
            <w:tcW w:w="1374" w:type="dxa"/>
            <w:gridSpan w:val="2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E530F4" w:rsidRPr="00882B48" w:rsidRDefault="00E530F4" w:rsidP="00E530F4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</w:tr>
      <w:tr w:rsidR="00E530F4" w:rsidRPr="00882B48" w:rsidTr="00E530F4">
        <w:trPr>
          <w:trHeight w:val="624"/>
          <w:jc w:val="center"/>
        </w:trPr>
        <w:tc>
          <w:tcPr>
            <w:tcW w:w="687" w:type="dxa"/>
            <w:vMerge w:val="restart"/>
            <w:noWrap/>
            <w:vAlign w:val="center"/>
            <w:hideMark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699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</w:p>
        </w:tc>
      </w:tr>
      <w:tr w:rsidR="00E530F4" w:rsidRPr="00882B48" w:rsidTr="00E530F4">
        <w:trPr>
          <w:trHeight w:val="624"/>
          <w:jc w:val="center"/>
        </w:trPr>
        <w:tc>
          <w:tcPr>
            <w:tcW w:w="687" w:type="dxa"/>
            <w:vMerge/>
            <w:vAlign w:val="center"/>
            <w:hideMark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699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E530F4" w:rsidRPr="00882B48" w:rsidRDefault="00E530F4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</w:p>
        </w:tc>
      </w:tr>
    </w:tbl>
    <w:p w:rsidR="00E530F4" w:rsidRDefault="00E530F4" w:rsidP="00310C29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E530F4" w:rsidRDefault="00E530F4" w:rsidP="00310C29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530F4">
        <w:rPr>
          <w:rFonts w:ascii="Times New Roman" w:hAnsi="Times New Roman" w:cs="Times New Roman"/>
          <w:b/>
          <w:sz w:val="20"/>
          <w:szCs w:val="20"/>
          <w:lang w:val="en-GB"/>
        </w:rPr>
        <w:t>Proposal 3</w:t>
      </w:r>
      <w:r>
        <w:rPr>
          <w:rFonts w:ascii="Times New Roman" w:hAnsi="Times New Roman" w:cs="Times New Roman"/>
          <w:sz w:val="20"/>
          <w:szCs w:val="20"/>
          <w:lang w:val="en-GB"/>
        </w:rPr>
        <w:t>: to include the above results in NR-NTN co-ex simulation results section of TR 38.863.</w:t>
      </w:r>
    </w:p>
    <w:p w:rsidR="00071401" w:rsidRPr="00672394" w:rsidRDefault="00071401" w:rsidP="00071401">
      <w:pPr>
        <w:pStyle w:val="Heading2"/>
        <w:numPr>
          <w:ilvl w:val="1"/>
          <w:numId w:val="1"/>
        </w:numPr>
      </w:pPr>
      <w:r>
        <w:t>ACIR results</w:t>
      </w:r>
      <w:r w:rsidR="004B3D80">
        <w:t xml:space="preserve"> and ACLR/ACS analysis</w:t>
      </w:r>
    </w:p>
    <w:p w:rsidR="004B3D80" w:rsidRDefault="00A34121" w:rsidP="00310C2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Based on the results above, for </w:t>
      </w:r>
      <w:r w:rsidR="00EE5176">
        <w:rPr>
          <w:rFonts w:ascii="Times New Roman" w:hAnsi="Times New Roman" w:cs="Times New Roman"/>
          <w:sz w:val="20"/>
          <w:szCs w:val="20"/>
          <w:lang w:val="en-GB"/>
        </w:rPr>
        <w:t>scenario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3 NTN DL interfering TN DL case, the required ACIR offset is -6.44, and then the required ACIR is 23.56 dB. </w:t>
      </w:r>
      <w:r w:rsidR="004B3D80">
        <w:rPr>
          <w:rFonts w:ascii="Times New Roman" w:hAnsi="Times New Roman" w:cs="Times New Roman"/>
          <w:sz w:val="20"/>
          <w:szCs w:val="20"/>
          <w:lang w:val="en-GB"/>
        </w:rPr>
        <w:t>Given the TN UE’s ACS is 33 dB, then the required ACLR for NTN BS should be 24.08 dB.</w:t>
      </w:r>
    </w:p>
    <w:p w:rsidR="004B3D80" w:rsidRDefault="004B3D80" w:rsidP="00310C29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71401" w:rsidRDefault="00A34121" w:rsidP="00310C2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EE5176">
        <w:rPr>
          <w:rFonts w:ascii="Times New Roman" w:hAnsi="Times New Roman" w:cs="Times New Roman"/>
          <w:sz w:val="20"/>
          <w:szCs w:val="20"/>
          <w:lang w:val="en-GB"/>
        </w:rPr>
        <w:t>scenario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4 NTN UL interfering TN UL case, the required ACIR offset is -0.98, then the required ACIR is </w:t>
      </w:r>
      <w:r w:rsidR="004B3D80">
        <w:rPr>
          <w:rFonts w:ascii="Times New Roman" w:hAnsi="Times New Roman" w:cs="Times New Roman"/>
          <w:sz w:val="20"/>
          <w:szCs w:val="20"/>
          <w:lang w:val="en-GB"/>
        </w:rPr>
        <w:t>29.02 dB. Gvien the TN BS’s ACS is 46 dB, then the required ACLR for NTN UE should be 29.11 dB.</w:t>
      </w:r>
    </w:p>
    <w:p w:rsidR="004B3D80" w:rsidRDefault="004B3D80" w:rsidP="00310C29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4B3D80" w:rsidRDefault="004B3D80" w:rsidP="00310C29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B3D80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</w:t>
      </w:r>
      <w:r w:rsidR="00E530F4">
        <w:rPr>
          <w:rFonts w:ascii="Times New Roman" w:hAnsi="Times New Roman" w:cs="Times New Roman"/>
          <w:b/>
          <w:sz w:val="20"/>
          <w:szCs w:val="20"/>
          <w:lang w:val="en-GB"/>
        </w:rPr>
        <w:t>4</w:t>
      </w:r>
      <w:r>
        <w:rPr>
          <w:rFonts w:ascii="Times New Roman" w:hAnsi="Times New Roman" w:cs="Times New Roman"/>
          <w:sz w:val="20"/>
          <w:szCs w:val="20"/>
          <w:lang w:val="en-GB"/>
        </w:rPr>
        <w:t>: to suggest 24.08 dB as ACLR for NTN BS, and suggest 29.01 dB as ACLR for NTN UE.</w:t>
      </w:r>
    </w:p>
    <w:p w:rsidR="00621D14" w:rsidRDefault="00CF1FA6">
      <w:pPr>
        <w:pStyle w:val="Heading1"/>
      </w:pPr>
      <w:r>
        <w:lastRenderedPageBreak/>
        <w:t>Conclusion</w:t>
      </w:r>
    </w:p>
    <w:p w:rsidR="00621D14" w:rsidRDefault="00CF1FA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contribution, </w:t>
      </w:r>
      <w:r w:rsidR="00550925">
        <w:rPr>
          <w:rFonts w:ascii="Times New Roman" w:hAnsi="Times New Roman" w:cs="Times New Roman"/>
          <w:lang w:val="en-GB"/>
        </w:rPr>
        <w:t xml:space="preserve">we </w:t>
      </w:r>
      <w:r w:rsidR="00E34F9B">
        <w:rPr>
          <w:rFonts w:ascii="Times New Roman" w:hAnsi="Times New Roman" w:cs="Times New Roman"/>
          <w:lang w:val="en-GB"/>
        </w:rPr>
        <w:t xml:space="preserve">submit </w:t>
      </w:r>
      <w:r w:rsidR="008922F4">
        <w:rPr>
          <w:rFonts w:ascii="Times New Roman" w:hAnsi="Times New Roman" w:cs="Times New Roman"/>
          <w:lang w:val="en-GB"/>
        </w:rPr>
        <w:t>one observation and three</w:t>
      </w:r>
      <w:r w:rsidR="00E34F9B">
        <w:rPr>
          <w:rFonts w:ascii="Times New Roman" w:hAnsi="Times New Roman" w:cs="Times New Roman"/>
          <w:lang w:val="en-GB"/>
        </w:rPr>
        <w:t xml:space="preserve"> proposals as follows:</w:t>
      </w:r>
    </w:p>
    <w:p w:rsidR="00E34F9B" w:rsidRDefault="00E34F9B">
      <w:pPr>
        <w:rPr>
          <w:rFonts w:ascii="Times New Roman" w:hAnsi="Times New Roman" w:cs="Times New Roman"/>
          <w:lang w:val="en-GB"/>
        </w:rPr>
      </w:pPr>
    </w:p>
    <w:p w:rsidR="00E34F9B" w:rsidRPr="004B6014" w:rsidRDefault="00E34F9B" w:rsidP="00E34F9B">
      <w:pPr>
        <w:rPr>
          <w:rFonts w:ascii="Times New Roman" w:hAnsi="Times New Roman"/>
          <w:b/>
          <w:color w:val="000000"/>
          <w:szCs w:val="20"/>
        </w:rPr>
      </w:pPr>
      <w:r w:rsidRPr="004B6014">
        <w:rPr>
          <w:rFonts w:ascii="Times New Roman" w:hAnsi="Times New Roman"/>
          <w:b/>
          <w:color w:val="000000"/>
          <w:szCs w:val="20"/>
        </w:rPr>
        <w:t>Proposal</w:t>
      </w:r>
      <w:r w:rsidRPr="004B6014">
        <w:rPr>
          <w:rFonts w:ascii="Times New Roman" w:hAnsi="Times New Roman" w:hint="eastAsia"/>
          <w:b/>
          <w:color w:val="000000"/>
          <w:szCs w:val="20"/>
        </w:rPr>
        <w:t xml:space="preserve"> </w:t>
      </w:r>
      <w:r w:rsidRPr="004B6014">
        <w:rPr>
          <w:rFonts w:ascii="Times New Roman" w:hAnsi="Times New Roman"/>
          <w:b/>
          <w:color w:val="000000"/>
          <w:szCs w:val="20"/>
        </w:rPr>
        <w:t>1</w:t>
      </w:r>
      <w:r w:rsidRPr="004B6014">
        <w:rPr>
          <w:rFonts w:ascii="Times New Roman" w:hAnsi="Times New Roman"/>
          <w:color w:val="000000"/>
          <w:szCs w:val="20"/>
        </w:rPr>
        <w:t xml:space="preserve">: to clarify the UL ACIR model when NTN UE and NR UE are transmitting in asymmetrical bandwidth. For victim UE1 in this </w:t>
      </w:r>
      <w:r w:rsidR="00EE5176">
        <w:rPr>
          <w:rFonts w:ascii="Times New Roman" w:hAnsi="Times New Roman"/>
          <w:color w:val="000000"/>
          <w:szCs w:val="20"/>
        </w:rPr>
        <w:t>scenario</w:t>
      </w:r>
      <w:r w:rsidRPr="004B6014">
        <w:rPr>
          <w:rFonts w:ascii="Times New Roman" w:hAnsi="Times New Roman"/>
          <w:color w:val="000000"/>
          <w:szCs w:val="20"/>
        </w:rPr>
        <w:t xml:space="preserve"> 4, NTN UL interfering TN UL, we need to use ACIR = 39.94 + X – F</w:t>
      </w:r>
      <w:r w:rsidRPr="004B6014">
        <w:rPr>
          <w:rFonts w:ascii="Times New Roman" w:hAnsi="Times New Roman"/>
          <w:color w:val="000000"/>
          <w:szCs w:val="20"/>
          <w:vertAlign w:val="subscript"/>
        </w:rPr>
        <w:t>ACIR</w:t>
      </w:r>
      <w:r w:rsidRPr="004B6014">
        <w:rPr>
          <w:rFonts w:ascii="Times New Roman" w:hAnsi="Times New Roman"/>
          <w:color w:val="000000"/>
          <w:szCs w:val="20"/>
        </w:rPr>
        <w:t xml:space="preserve"> instead of 30 + X – F</w:t>
      </w:r>
      <w:r w:rsidRPr="004B6014">
        <w:rPr>
          <w:rFonts w:ascii="Times New Roman" w:hAnsi="Times New Roman"/>
          <w:color w:val="000000"/>
          <w:szCs w:val="20"/>
          <w:vertAlign w:val="subscript"/>
        </w:rPr>
        <w:t>ACIR</w:t>
      </w:r>
      <w:r w:rsidRPr="004B6014">
        <w:rPr>
          <w:rFonts w:ascii="Times New Roman" w:hAnsi="Times New Roman"/>
          <w:color w:val="000000"/>
          <w:szCs w:val="20"/>
        </w:rPr>
        <w:t>, where F</w:t>
      </w:r>
      <w:r w:rsidRPr="004B6014">
        <w:rPr>
          <w:rFonts w:ascii="Times New Roman" w:hAnsi="Times New Roman"/>
          <w:color w:val="000000"/>
          <w:szCs w:val="20"/>
          <w:vertAlign w:val="subscript"/>
        </w:rPr>
        <w:t>ACIR</w:t>
      </w:r>
      <w:r w:rsidRPr="004B6014">
        <w:rPr>
          <w:rFonts w:ascii="Times New Roman" w:hAnsi="Times New Roman"/>
          <w:color w:val="000000"/>
          <w:szCs w:val="20"/>
        </w:rPr>
        <w:t xml:space="preserve"> = 10 × LOG</w:t>
      </w:r>
      <w:r w:rsidRPr="004B6014">
        <w:rPr>
          <w:rFonts w:ascii="Times New Roman" w:hAnsi="Times New Roman"/>
          <w:color w:val="000000"/>
          <w:szCs w:val="20"/>
          <w:vertAlign w:val="subscript"/>
        </w:rPr>
        <w:t>10</w:t>
      </w:r>
      <w:r w:rsidRPr="004B6014">
        <w:rPr>
          <w:rFonts w:ascii="Times New Roman" w:hAnsi="Times New Roman"/>
          <w:color w:val="000000"/>
          <w:szCs w:val="20"/>
        </w:rPr>
        <w:t>(</w:t>
      </w:r>
      <w:r w:rsidRPr="004B6014">
        <w:rPr>
          <w:rFonts w:ascii="Times New Roman" w:hAnsi="Times New Roman" w:hint="eastAsia"/>
          <w:color w:val="000000"/>
          <w:szCs w:val="20"/>
        </w:rPr>
        <w:t>B</w:t>
      </w:r>
      <w:r w:rsidRPr="004B6014">
        <w:rPr>
          <w:rFonts w:ascii="Times New Roman" w:hAnsi="Times New Roman"/>
          <w:color w:val="000000"/>
          <w:szCs w:val="20"/>
        </w:rPr>
        <w:t>W</w:t>
      </w:r>
      <w:r w:rsidRPr="004B6014">
        <w:rPr>
          <w:rFonts w:ascii="Times New Roman" w:hAnsi="Times New Roman" w:hint="eastAsia"/>
          <w:color w:val="000000"/>
          <w:szCs w:val="20"/>
          <w:vertAlign w:val="subscript"/>
        </w:rPr>
        <w:t>victim</w:t>
      </w:r>
      <w:r w:rsidRPr="004B6014">
        <w:rPr>
          <w:rFonts w:ascii="Times New Roman" w:hAnsi="Times New Roman" w:hint="eastAsia"/>
          <w:color w:val="000000"/>
          <w:szCs w:val="20"/>
        </w:rPr>
        <w:t>/</w:t>
      </w:r>
      <w:r w:rsidRPr="004B6014">
        <w:rPr>
          <w:rFonts w:ascii="Times New Roman" w:hAnsi="Times New Roman"/>
          <w:color w:val="000000"/>
          <w:szCs w:val="20"/>
        </w:rPr>
        <w:t>BW</w:t>
      </w:r>
      <w:r w:rsidRPr="004B6014">
        <w:rPr>
          <w:rFonts w:ascii="Times New Roman" w:hAnsi="Times New Roman"/>
          <w:color w:val="000000"/>
          <w:szCs w:val="20"/>
          <w:vertAlign w:val="subscript"/>
        </w:rPr>
        <w:t>Aggressor</w:t>
      </w:r>
      <w:r w:rsidRPr="004B6014">
        <w:rPr>
          <w:rFonts w:ascii="Times New Roman" w:hAnsi="Times New Roman"/>
          <w:color w:val="000000"/>
          <w:szCs w:val="20"/>
        </w:rPr>
        <w:t xml:space="preserve">). And for </w:t>
      </w:r>
      <w:r w:rsidR="00EE5176">
        <w:rPr>
          <w:rFonts w:ascii="Times New Roman" w:hAnsi="Times New Roman"/>
          <w:color w:val="000000"/>
          <w:szCs w:val="20"/>
        </w:rPr>
        <w:t>scenario</w:t>
      </w:r>
      <w:r w:rsidRPr="004B6014">
        <w:rPr>
          <w:rFonts w:ascii="Times New Roman" w:hAnsi="Times New Roman"/>
          <w:color w:val="000000"/>
          <w:szCs w:val="20"/>
        </w:rPr>
        <w:t xml:space="preserve"> 2, use similar principle to derive ACIR for victim UE1.</w:t>
      </w:r>
    </w:p>
    <w:p w:rsidR="00E530F4" w:rsidRDefault="00E530F4" w:rsidP="00E530F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B6014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2: </w:t>
      </w:r>
      <w:r>
        <w:rPr>
          <w:rFonts w:ascii="Times New Roman" w:hAnsi="Times New Roman" w:cs="Times New Roman"/>
          <w:sz w:val="20"/>
          <w:szCs w:val="20"/>
          <w:lang w:val="en-GB"/>
        </w:rPr>
        <w:t>to adopt the following table as template to summarize co-ex ACIR results in TR 38.863.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700"/>
      </w:tblGrid>
      <w:tr w:rsidR="004866EF" w:rsidRPr="00882B48" w:rsidTr="00D07AAE">
        <w:trPr>
          <w:trHeight w:val="624"/>
          <w:jc w:val="center"/>
        </w:trPr>
        <w:tc>
          <w:tcPr>
            <w:tcW w:w="1374" w:type="dxa"/>
            <w:gridSpan w:val="2"/>
            <w:noWrap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Required 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30</w:t>
            </w:r>
          </w:p>
        </w:tc>
        <w:tc>
          <w:tcPr>
            <w:tcW w:w="700" w:type="dxa"/>
            <w:vAlign w:val="center"/>
          </w:tcPr>
          <w:p w:rsidR="004866EF" w:rsidRDefault="00D07AAE" w:rsidP="00D07AAE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  <w:t>…</w:t>
            </w:r>
          </w:p>
        </w:tc>
      </w:tr>
      <w:tr w:rsidR="004866EF" w:rsidRPr="00882B48" w:rsidTr="00D07AAE">
        <w:trPr>
          <w:trHeight w:val="624"/>
          <w:jc w:val="center"/>
        </w:trPr>
        <w:tc>
          <w:tcPr>
            <w:tcW w:w="687" w:type="dxa"/>
            <w:vMerge w:val="restart"/>
            <w:noWrap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Throughput Loss</w:t>
            </w:r>
          </w:p>
        </w:tc>
        <w:tc>
          <w:tcPr>
            <w:tcW w:w="687" w:type="dxa"/>
            <w:noWrap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699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</w:p>
        </w:tc>
        <w:tc>
          <w:tcPr>
            <w:tcW w:w="700" w:type="dxa"/>
            <w:vAlign w:val="center"/>
          </w:tcPr>
          <w:p w:rsidR="004866EF" w:rsidRPr="00882B48" w:rsidRDefault="004866EF" w:rsidP="00D07AAE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</w:p>
        </w:tc>
      </w:tr>
      <w:tr w:rsidR="004866EF" w:rsidRPr="00882B48" w:rsidTr="00D07AAE">
        <w:trPr>
          <w:trHeight w:val="624"/>
          <w:jc w:val="center"/>
        </w:trPr>
        <w:tc>
          <w:tcPr>
            <w:tcW w:w="687" w:type="dxa"/>
            <w:vMerge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</w:pPr>
            <w:r w:rsidRPr="00882B48">
              <w:rPr>
                <w:rFonts w:ascii="Times New Roman" w:hAnsi="Times New Roman" w:cs="Times New Roman"/>
                <w:b/>
                <w:bCs/>
                <w:sz w:val="16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699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 w:eastAsia="en-US"/>
              </w:rPr>
            </w:pPr>
          </w:p>
        </w:tc>
        <w:tc>
          <w:tcPr>
            <w:tcW w:w="700" w:type="dxa"/>
            <w:noWrap/>
            <w:vAlign w:val="center"/>
          </w:tcPr>
          <w:p w:rsidR="004866EF" w:rsidRPr="00882B48" w:rsidRDefault="004866EF" w:rsidP="004866EF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</w:p>
        </w:tc>
        <w:tc>
          <w:tcPr>
            <w:tcW w:w="700" w:type="dxa"/>
            <w:vAlign w:val="center"/>
          </w:tcPr>
          <w:p w:rsidR="004866EF" w:rsidRPr="00882B48" w:rsidRDefault="004866EF" w:rsidP="00D07AAE">
            <w:pPr>
              <w:jc w:val="center"/>
              <w:rPr>
                <w:rFonts w:ascii="Times New Roman" w:hAnsi="Times New Roman" w:cs="Times New Roman"/>
                <w:sz w:val="16"/>
                <w:szCs w:val="20"/>
                <w:lang w:val="en-GB"/>
              </w:rPr>
            </w:pPr>
          </w:p>
        </w:tc>
      </w:tr>
    </w:tbl>
    <w:p w:rsidR="00E530F4" w:rsidRDefault="00E530F4" w:rsidP="00E530F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530F4">
        <w:rPr>
          <w:rFonts w:ascii="Times New Roman" w:hAnsi="Times New Roman" w:cs="Times New Roman"/>
          <w:b/>
          <w:sz w:val="20"/>
          <w:szCs w:val="20"/>
          <w:lang w:val="en-GB"/>
        </w:rPr>
        <w:t>Proposal 3</w:t>
      </w:r>
      <w:r>
        <w:rPr>
          <w:rFonts w:ascii="Times New Roman" w:hAnsi="Times New Roman" w:cs="Times New Roman"/>
          <w:sz w:val="20"/>
          <w:szCs w:val="20"/>
          <w:lang w:val="en-GB"/>
        </w:rPr>
        <w:t>: to include the above results in NR-NTN co-ex simulation results section of TR 38.863.</w:t>
      </w:r>
    </w:p>
    <w:p w:rsidR="00E530F4" w:rsidRDefault="00E530F4" w:rsidP="00E530F4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B3D80">
        <w:rPr>
          <w:rFonts w:ascii="Times New Roman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4</w:t>
      </w:r>
      <w:r>
        <w:rPr>
          <w:rFonts w:ascii="Times New Roman" w:hAnsi="Times New Roman" w:cs="Times New Roman"/>
          <w:sz w:val="20"/>
          <w:szCs w:val="20"/>
          <w:lang w:val="en-GB"/>
        </w:rPr>
        <w:t>: to suggest 24.08 dB as ACLR for NTN BS, and suggest 29.01 dB as ACLR for NTN UE.</w:t>
      </w:r>
    </w:p>
    <w:p w:rsidR="008922F4" w:rsidRDefault="008922F4" w:rsidP="004B3D8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8922F4" w:rsidRPr="008922F4" w:rsidRDefault="008922F4" w:rsidP="008922F4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Observation 1: </w:t>
      </w:r>
      <w:r>
        <w:rPr>
          <w:rFonts w:ascii="Times New Roman" w:hAnsi="Times New Roman" w:cs="Times New Roman"/>
          <w:sz w:val="20"/>
          <w:szCs w:val="20"/>
          <w:lang w:val="en-GB"/>
        </w:rPr>
        <w:t>the TN NR system parameters may need improvement, at least for non-AAS case. The current parameter set results in no throughput @5% for non-AAS BS antenna cases. However, the SINR loss shows the NTN UL interference to non-AAS antenna is similar to the impact results of AAS antenna. So, the overall results can be acceptable.</w:t>
      </w:r>
    </w:p>
    <w:p w:rsidR="008922F4" w:rsidRDefault="008922F4" w:rsidP="004B3D8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D375E7" w:rsidRPr="008C7EB2" w:rsidRDefault="00D375E7" w:rsidP="00D375E7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50925" w:rsidRPr="003713EE" w:rsidRDefault="00550925" w:rsidP="00550925">
      <w:pPr>
        <w:rPr>
          <w:rFonts w:ascii="Times New Roman" w:hAnsi="Times New Roman" w:cs="Times New Roman"/>
          <w:szCs w:val="21"/>
        </w:rPr>
      </w:pPr>
      <w:r w:rsidRPr="008C2590">
        <w:rPr>
          <w:rFonts w:ascii="Times New Roman" w:hAnsi="Times New Roman" w:cs="Times New Roman"/>
          <w:szCs w:val="21"/>
        </w:rPr>
        <w:t>[</w:t>
      </w:r>
      <w:r w:rsidR="00310C29">
        <w:rPr>
          <w:rFonts w:ascii="Times New Roman" w:hAnsi="Times New Roman" w:cs="Times New Roman"/>
          <w:szCs w:val="21"/>
        </w:rPr>
        <w:t>1</w:t>
      </w:r>
      <w:r w:rsidRPr="008C2590">
        <w:rPr>
          <w:rFonts w:ascii="Times New Roman" w:hAnsi="Times New Roman" w:cs="Times New Roman"/>
          <w:szCs w:val="21"/>
        </w:rPr>
        <w:t xml:space="preserve">]. </w:t>
      </w:r>
      <w:r w:rsidR="003713EE">
        <w:rPr>
          <w:rFonts w:ascii="Times New Roman" w:hAnsi="Times New Roman" w:cs="Times New Roman"/>
          <w:szCs w:val="21"/>
        </w:rPr>
        <w:t>R4-21</w:t>
      </w:r>
      <w:r w:rsidR="00C63D1B">
        <w:rPr>
          <w:rFonts w:ascii="Times New Roman" w:hAnsi="Times New Roman" w:cs="Times New Roman"/>
          <w:szCs w:val="21"/>
        </w:rPr>
        <w:t>15750</w:t>
      </w:r>
      <w:r w:rsidR="003713EE">
        <w:rPr>
          <w:rFonts w:ascii="Times New Roman" w:hAnsi="Times New Roman" w:cs="Times New Roman"/>
          <w:szCs w:val="21"/>
        </w:rPr>
        <w:t xml:space="preserve">, Simulation assumptions for NTN co-existence study, </w:t>
      </w:r>
      <w:r w:rsidR="003713EE">
        <w:rPr>
          <w:rFonts w:ascii="Times New Roman" w:hAnsi="Times New Roman" w:cs="Times New Roman" w:hint="eastAsia"/>
          <w:szCs w:val="21"/>
        </w:rPr>
        <w:t>Moderator</w:t>
      </w:r>
      <w:r w:rsidR="003713EE">
        <w:rPr>
          <w:rFonts w:ascii="Times New Roman" w:hAnsi="Times New Roman" w:cs="Times New Roman"/>
          <w:szCs w:val="21"/>
        </w:rPr>
        <w:t>.</w:t>
      </w:r>
    </w:p>
    <w:p w:rsidR="00621D14" w:rsidRDefault="00621D14"/>
    <w:p w:rsidR="007614B2" w:rsidRPr="00310C29" w:rsidRDefault="007614B2"/>
    <w:sectPr w:rsidR="007614B2" w:rsidRPr="00310C29" w:rsidSect="00CE5C86">
      <w:footerReference w:type="default" r:id="rId13"/>
      <w:pgSz w:w="11906" w:h="16838"/>
      <w:pgMar w:top="1134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A4B" w:rsidRDefault="00EF6A4B">
      <w:r>
        <w:separator/>
      </w:r>
    </w:p>
  </w:endnote>
  <w:endnote w:type="continuationSeparator" w:id="0">
    <w:p w:rsidR="00EF6A4B" w:rsidRDefault="00EF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altName w:val="Arial Unicode MS"/>
    <w:charset w:val="81"/>
    <w:family w:val="modern"/>
    <w:pitch w:val="default"/>
    <w:sig w:usb0="B00002AF" w:usb1="69D77CFB" w:usb2="00000030" w:usb3="00000000" w:csb0="4008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6EF" w:rsidRDefault="004866EF">
    <w:pPr>
      <w:pStyle w:val="Footer"/>
    </w:pPr>
    <w:r>
      <w:t>3GPP</w:t>
    </w:r>
  </w:p>
  <w:p w:rsidR="004866EF" w:rsidRDefault="004866E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A4B" w:rsidRDefault="00EF6A4B">
      <w:r>
        <w:separator/>
      </w:r>
    </w:p>
  </w:footnote>
  <w:footnote w:type="continuationSeparator" w:id="0">
    <w:p w:rsidR="00EF6A4B" w:rsidRDefault="00EF6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4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72C71936"/>
    <w:multiLevelType w:val="multilevel"/>
    <w:tmpl w:val="5CBAD7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594"/>
    <w:rsid w:val="00004132"/>
    <w:rsid w:val="00011062"/>
    <w:rsid w:val="00021561"/>
    <w:rsid w:val="000408AD"/>
    <w:rsid w:val="000410BD"/>
    <w:rsid w:val="00042EBA"/>
    <w:rsid w:val="00043904"/>
    <w:rsid w:val="000649B9"/>
    <w:rsid w:val="00070D94"/>
    <w:rsid w:val="00071401"/>
    <w:rsid w:val="00080564"/>
    <w:rsid w:val="0008593E"/>
    <w:rsid w:val="00093003"/>
    <w:rsid w:val="000A3117"/>
    <w:rsid w:val="000B0324"/>
    <w:rsid w:val="000B6A1E"/>
    <w:rsid w:val="000C32F6"/>
    <w:rsid w:val="000E2495"/>
    <w:rsid w:val="000E5C39"/>
    <w:rsid w:val="000F3A2B"/>
    <w:rsid w:val="000F5B85"/>
    <w:rsid w:val="000F7473"/>
    <w:rsid w:val="00131CF1"/>
    <w:rsid w:val="00133D10"/>
    <w:rsid w:val="00140F2A"/>
    <w:rsid w:val="00142DDB"/>
    <w:rsid w:val="001500A1"/>
    <w:rsid w:val="00157A1D"/>
    <w:rsid w:val="0016387E"/>
    <w:rsid w:val="00172A27"/>
    <w:rsid w:val="00191A5D"/>
    <w:rsid w:val="00197812"/>
    <w:rsid w:val="001A524F"/>
    <w:rsid w:val="001D0244"/>
    <w:rsid w:val="001D5733"/>
    <w:rsid w:val="001F4513"/>
    <w:rsid w:val="00211E7B"/>
    <w:rsid w:val="00225422"/>
    <w:rsid w:val="002330AE"/>
    <w:rsid w:val="00237C6A"/>
    <w:rsid w:val="00246F00"/>
    <w:rsid w:val="00250DFA"/>
    <w:rsid w:val="002511E6"/>
    <w:rsid w:val="002553F8"/>
    <w:rsid w:val="002710F6"/>
    <w:rsid w:val="00277754"/>
    <w:rsid w:val="0028388E"/>
    <w:rsid w:val="00284B4C"/>
    <w:rsid w:val="002A108E"/>
    <w:rsid w:val="002B2455"/>
    <w:rsid w:val="002B58A7"/>
    <w:rsid w:val="002C6EAF"/>
    <w:rsid w:val="002D118C"/>
    <w:rsid w:val="002D2748"/>
    <w:rsid w:val="002E50C8"/>
    <w:rsid w:val="002E76A6"/>
    <w:rsid w:val="002F1120"/>
    <w:rsid w:val="00310C29"/>
    <w:rsid w:val="00312FCC"/>
    <w:rsid w:val="003308F4"/>
    <w:rsid w:val="003453C6"/>
    <w:rsid w:val="003505F5"/>
    <w:rsid w:val="00352195"/>
    <w:rsid w:val="00362D39"/>
    <w:rsid w:val="00366D76"/>
    <w:rsid w:val="003713EE"/>
    <w:rsid w:val="00383036"/>
    <w:rsid w:val="00392430"/>
    <w:rsid w:val="003949BE"/>
    <w:rsid w:val="003A5E8E"/>
    <w:rsid w:val="003C1087"/>
    <w:rsid w:val="003C7B04"/>
    <w:rsid w:val="003D17D8"/>
    <w:rsid w:val="003D40CE"/>
    <w:rsid w:val="003D6B87"/>
    <w:rsid w:val="004067BD"/>
    <w:rsid w:val="00426D3E"/>
    <w:rsid w:val="00436507"/>
    <w:rsid w:val="00445722"/>
    <w:rsid w:val="00462500"/>
    <w:rsid w:val="00464D75"/>
    <w:rsid w:val="0047071D"/>
    <w:rsid w:val="00476541"/>
    <w:rsid w:val="004851EB"/>
    <w:rsid w:val="004866EF"/>
    <w:rsid w:val="00495363"/>
    <w:rsid w:val="004B3D80"/>
    <w:rsid w:val="004B6014"/>
    <w:rsid w:val="004C1656"/>
    <w:rsid w:val="004C53FB"/>
    <w:rsid w:val="004D62AD"/>
    <w:rsid w:val="004F3E22"/>
    <w:rsid w:val="00506F67"/>
    <w:rsid w:val="00527555"/>
    <w:rsid w:val="005348EB"/>
    <w:rsid w:val="00550925"/>
    <w:rsid w:val="005628AC"/>
    <w:rsid w:val="00570460"/>
    <w:rsid w:val="005764E7"/>
    <w:rsid w:val="00580E6B"/>
    <w:rsid w:val="005A2838"/>
    <w:rsid w:val="005B4A9E"/>
    <w:rsid w:val="005C142B"/>
    <w:rsid w:val="005C6FA4"/>
    <w:rsid w:val="005D4A50"/>
    <w:rsid w:val="005F205A"/>
    <w:rsid w:val="005F64FC"/>
    <w:rsid w:val="006026D6"/>
    <w:rsid w:val="006036B1"/>
    <w:rsid w:val="00607B1A"/>
    <w:rsid w:val="00611741"/>
    <w:rsid w:val="00621D14"/>
    <w:rsid w:val="00640927"/>
    <w:rsid w:val="00646BE1"/>
    <w:rsid w:val="00664955"/>
    <w:rsid w:val="00672394"/>
    <w:rsid w:val="006740AA"/>
    <w:rsid w:val="00681C90"/>
    <w:rsid w:val="006850A5"/>
    <w:rsid w:val="0069280F"/>
    <w:rsid w:val="00697EA0"/>
    <w:rsid w:val="00706FBD"/>
    <w:rsid w:val="0071759E"/>
    <w:rsid w:val="00726366"/>
    <w:rsid w:val="00726A0A"/>
    <w:rsid w:val="0073247E"/>
    <w:rsid w:val="007340D2"/>
    <w:rsid w:val="007570BB"/>
    <w:rsid w:val="007614B2"/>
    <w:rsid w:val="00761F01"/>
    <w:rsid w:val="00777B31"/>
    <w:rsid w:val="0078640B"/>
    <w:rsid w:val="007958AC"/>
    <w:rsid w:val="007B5C73"/>
    <w:rsid w:val="007B676F"/>
    <w:rsid w:val="007B6C1F"/>
    <w:rsid w:val="007C47AD"/>
    <w:rsid w:val="007E5CDC"/>
    <w:rsid w:val="007F728A"/>
    <w:rsid w:val="00800FF2"/>
    <w:rsid w:val="008079C8"/>
    <w:rsid w:val="00812220"/>
    <w:rsid w:val="008122BE"/>
    <w:rsid w:val="00814703"/>
    <w:rsid w:val="00822052"/>
    <w:rsid w:val="00824CC3"/>
    <w:rsid w:val="00842653"/>
    <w:rsid w:val="008530FD"/>
    <w:rsid w:val="00872CEE"/>
    <w:rsid w:val="00875D5D"/>
    <w:rsid w:val="008763C4"/>
    <w:rsid w:val="00882B48"/>
    <w:rsid w:val="008838EB"/>
    <w:rsid w:val="008922F4"/>
    <w:rsid w:val="008C2590"/>
    <w:rsid w:val="008E0CC6"/>
    <w:rsid w:val="00902814"/>
    <w:rsid w:val="00917284"/>
    <w:rsid w:val="0094014A"/>
    <w:rsid w:val="0094258C"/>
    <w:rsid w:val="009510D8"/>
    <w:rsid w:val="00971FD8"/>
    <w:rsid w:val="009806FC"/>
    <w:rsid w:val="00986F4B"/>
    <w:rsid w:val="009A5C61"/>
    <w:rsid w:val="009B23DE"/>
    <w:rsid w:val="009C464C"/>
    <w:rsid w:val="009D37A5"/>
    <w:rsid w:val="009E16B1"/>
    <w:rsid w:val="009E440E"/>
    <w:rsid w:val="009E7E70"/>
    <w:rsid w:val="00A15009"/>
    <w:rsid w:val="00A263F3"/>
    <w:rsid w:val="00A34121"/>
    <w:rsid w:val="00A4137A"/>
    <w:rsid w:val="00A540F3"/>
    <w:rsid w:val="00A54815"/>
    <w:rsid w:val="00A61A33"/>
    <w:rsid w:val="00A6325D"/>
    <w:rsid w:val="00A7279A"/>
    <w:rsid w:val="00A80586"/>
    <w:rsid w:val="00AB1E52"/>
    <w:rsid w:val="00AC1B94"/>
    <w:rsid w:val="00AF4901"/>
    <w:rsid w:val="00B11B53"/>
    <w:rsid w:val="00B211D6"/>
    <w:rsid w:val="00B35B01"/>
    <w:rsid w:val="00B40262"/>
    <w:rsid w:val="00B43285"/>
    <w:rsid w:val="00B62ECE"/>
    <w:rsid w:val="00B6541E"/>
    <w:rsid w:val="00BA58AA"/>
    <w:rsid w:val="00BC31D7"/>
    <w:rsid w:val="00BE3146"/>
    <w:rsid w:val="00BF615F"/>
    <w:rsid w:val="00C01447"/>
    <w:rsid w:val="00C0364A"/>
    <w:rsid w:val="00C17381"/>
    <w:rsid w:val="00C1774D"/>
    <w:rsid w:val="00C21E08"/>
    <w:rsid w:val="00C246FD"/>
    <w:rsid w:val="00C47116"/>
    <w:rsid w:val="00C472E7"/>
    <w:rsid w:val="00C53021"/>
    <w:rsid w:val="00C569F1"/>
    <w:rsid w:val="00C63D1B"/>
    <w:rsid w:val="00C72FC9"/>
    <w:rsid w:val="00C73EA4"/>
    <w:rsid w:val="00C7420B"/>
    <w:rsid w:val="00C83527"/>
    <w:rsid w:val="00C849BB"/>
    <w:rsid w:val="00C9218F"/>
    <w:rsid w:val="00C9535D"/>
    <w:rsid w:val="00CA0E6F"/>
    <w:rsid w:val="00CA2CEB"/>
    <w:rsid w:val="00CA569E"/>
    <w:rsid w:val="00CB2F7D"/>
    <w:rsid w:val="00CB360D"/>
    <w:rsid w:val="00CE5C86"/>
    <w:rsid w:val="00CF1FA6"/>
    <w:rsid w:val="00CF3F73"/>
    <w:rsid w:val="00D00225"/>
    <w:rsid w:val="00D07AAE"/>
    <w:rsid w:val="00D133D0"/>
    <w:rsid w:val="00D13B3F"/>
    <w:rsid w:val="00D21EC3"/>
    <w:rsid w:val="00D27BCD"/>
    <w:rsid w:val="00D30126"/>
    <w:rsid w:val="00D375E7"/>
    <w:rsid w:val="00D401DA"/>
    <w:rsid w:val="00D51CE0"/>
    <w:rsid w:val="00D57AD5"/>
    <w:rsid w:val="00D76474"/>
    <w:rsid w:val="00D933CC"/>
    <w:rsid w:val="00D94A39"/>
    <w:rsid w:val="00D95392"/>
    <w:rsid w:val="00DA60F0"/>
    <w:rsid w:val="00DA65F1"/>
    <w:rsid w:val="00DC4BA9"/>
    <w:rsid w:val="00DD0AB8"/>
    <w:rsid w:val="00DD14E8"/>
    <w:rsid w:val="00DF3F8C"/>
    <w:rsid w:val="00DF6B1C"/>
    <w:rsid w:val="00E06168"/>
    <w:rsid w:val="00E14DD8"/>
    <w:rsid w:val="00E2146B"/>
    <w:rsid w:val="00E21A85"/>
    <w:rsid w:val="00E238DE"/>
    <w:rsid w:val="00E32393"/>
    <w:rsid w:val="00E33D4B"/>
    <w:rsid w:val="00E34F9B"/>
    <w:rsid w:val="00E530F4"/>
    <w:rsid w:val="00E574A0"/>
    <w:rsid w:val="00E76BB1"/>
    <w:rsid w:val="00E80ADD"/>
    <w:rsid w:val="00EA1991"/>
    <w:rsid w:val="00EA2277"/>
    <w:rsid w:val="00ED2AE0"/>
    <w:rsid w:val="00ED7F18"/>
    <w:rsid w:val="00EE4B06"/>
    <w:rsid w:val="00EE5176"/>
    <w:rsid w:val="00EE7B51"/>
    <w:rsid w:val="00EF6A4B"/>
    <w:rsid w:val="00F06904"/>
    <w:rsid w:val="00F20AAE"/>
    <w:rsid w:val="00F215E4"/>
    <w:rsid w:val="00F24E5B"/>
    <w:rsid w:val="00F27992"/>
    <w:rsid w:val="00F30179"/>
    <w:rsid w:val="00F40AD4"/>
    <w:rsid w:val="00F641EB"/>
    <w:rsid w:val="00F832BE"/>
    <w:rsid w:val="00F85799"/>
    <w:rsid w:val="00F87BC4"/>
    <w:rsid w:val="00FA36C6"/>
    <w:rsid w:val="00FB4593"/>
    <w:rsid w:val="00FC02F2"/>
    <w:rsid w:val="00FC5797"/>
    <w:rsid w:val="00FE0608"/>
    <w:rsid w:val="00FE1F6A"/>
    <w:rsid w:val="00FE2C9F"/>
    <w:rsid w:val="00FE6088"/>
    <w:rsid w:val="00FF5733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32141"/>
  <w15:docId w15:val="{52EDBD0B-B358-45B7-A5B1-F2E48F60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aliases w:val="T1,Header 6"/>
    <w:basedOn w:val="Normal"/>
    <w:next w:val="Normal"/>
    <w:link w:val="Heading6Char"/>
    <w:qFormat/>
    <w:pPr>
      <w:keepNext/>
      <w:keepLines/>
      <w:widowControl/>
      <w:numPr>
        <w:ilvl w:val="5"/>
        <w:numId w:val="1"/>
      </w:numPr>
      <w:tabs>
        <w:tab w:val="left" w:pos="115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numPr>
        <w:ilvl w:val="6"/>
        <w:numId w:val="1"/>
      </w:numPr>
      <w:tabs>
        <w:tab w:val="left" w:pos="1296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  <w:rPr>
      <w:rFonts w:eastAsia="宋体"/>
    </w:r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firstLineChars="200" w:firstLine="420"/>
    </w:pPr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Normal"/>
    <w:next w:val="Normal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Normal"/>
    <w:next w:val="Normal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Strong">
    <w:name w:val="Strong"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6Char">
    <w:name w:val="Heading 6 Char"/>
    <w:aliases w:val="T1 Char,Header 6 Char"/>
    <w:basedOn w:val="DefaultParagraphFont"/>
    <w:link w:val="Heading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b/>
      <w:bCs/>
      <w:sz w:val="28"/>
      <w:szCs w:val="28"/>
    </w:rPr>
  </w:style>
  <w:style w:type="paragraph" w:customStyle="1" w:styleId="NO">
    <w:name w:val="NO"/>
    <w:basedOn w:val="Normal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NormalIndent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paragraph" w:customStyle="1" w:styleId="Tablehead">
    <w:name w:val="Table_head"/>
    <w:basedOn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Revision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TableGrid">
    <w:name w:val="Table Grid"/>
    <w:basedOn w:val="TableNormal"/>
    <w:uiPriority w:val="39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30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Scenario</a:t>
            </a:r>
            <a:r>
              <a:rPr lang="en-US" baseline="0"/>
              <a:t> 3: NTN DL interfering TN DL ACIR offset results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LEO-600  Urban - AAS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0.8</c:v>
                </c:pt>
                <c:pt idx="1">
                  <c:v>0.25</c:v>
                </c:pt>
                <c:pt idx="2">
                  <c:v>0.08</c:v>
                </c:pt>
                <c:pt idx="3">
                  <c:v>0.03</c:v>
                </c:pt>
                <c:pt idx="4">
                  <c:v>0.01</c:v>
                </c:pt>
                <c:pt idx="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C98-4807-A13C-48456163E88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LEO-600 Urban non-AAS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  <c:pt idx="0">
                  <c:v>0.52</c:v>
                </c:pt>
                <c:pt idx="1">
                  <c:v>0.17</c:v>
                </c:pt>
                <c:pt idx="2">
                  <c:v>0.05</c:v>
                </c:pt>
                <c:pt idx="3">
                  <c:v>0.02</c:v>
                </c:pt>
                <c:pt idx="4">
                  <c:v>0.01</c:v>
                </c:pt>
                <c:pt idx="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C98-4807-A13C-48456163E88E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LEO-600 Rural AAS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Sheet1!$D$2:$D$7</c:f>
              <c:numCache>
                <c:formatCode>General</c:formatCode>
                <c:ptCount val="6"/>
                <c:pt idx="0">
                  <c:v>73.680000000000007</c:v>
                </c:pt>
                <c:pt idx="1">
                  <c:v>47.57</c:v>
                </c:pt>
                <c:pt idx="2">
                  <c:v>22.9</c:v>
                </c:pt>
                <c:pt idx="3">
                  <c:v>8.77</c:v>
                </c:pt>
                <c:pt idx="4">
                  <c:v>2.96</c:v>
                </c:pt>
                <c:pt idx="5">
                  <c:v>0.96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C98-4807-A13C-48456163E88E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LEO-600 Rural non-AAS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Sheet1!$E$2:$E$7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15</c:v>
                </c:pt>
                <c:pt idx="3">
                  <c:v>5.24</c:v>
                </c:pt>
                <c:pt idx="4">
                  <c:v>1.71</c:v>
                </c:pt>
                <c:pt idx="5">
                  <c:v>0.55000000000000004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AC98-4807-A13C-48456163E88E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LEO-1200 Urban AAS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Sheet1!$F$2:$F$7</c:f>
              <c:numCache>
                <c:formatCode>General</c:formatCode>
                <c:ptCount val="6"/>
                <c:pt idx="0">
                  <c:v>0.84</c:v>
                </c:pt>
                <c:pt idx="1">
                  <c:v>0.26</c:v>
                </c:pt>
                <c:pt idx="2">
                  <c:v>0.08</c:v>
                </c:pt>
                <c:pt idx="3">
                  <c:v>0.03</c:v>
                </c:pt>
                <c:pt idx="4">
                  <c:v>0.01</c:v>
                </c:pt>
                <c:pt idx="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AC98-4807-A13C-48456163E88E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LEO-1200 Urban non-AAS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Sheet1!$G$2:$G$7</c:f>
              <c:numCache>
                <c:formatCode>General</c:formatCode>
                <c:ptCount val="6"/>
                <c:pt idx="0">
                  <c:v>0.55000000000000004</c:v>
                </c:pt>
                <c:pt idx="1">
                  <c:v>0.17</c:v>
                </c:pt>
                <c:pt idx="2">
                  <c:v>0.05</c:v>
                </c:pt>
                <c:pt idx="3">
                  <c:v>0.02</c:v>
                </c:pt>
                <c:pt idx="4">
                  <c:v>0.01</c:v>
                </c:pt>
                <c:pt idx="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AC98-4807-A13C-48456163E88E}"/>
            </c:ext>
          </c:extLst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LEO-1200 Rural AAS</c:v>
                </c:pt>
              </c:strCache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Sheet1!$H$2:$H$7</c:f>
              <c:numCache>
                <c:formatCode>General</c:formatCode>
                <c:ptCount val="6"/>
                <c:pt idx="0">
                  <c:v>75.13</c:v>
                </c:pt>
                <c:pt idx="1">
                  <c:v>49.47</c:v>
                </c:pt>
                <c:pt idx="2">
                  <c:v>24.3</c:v>
                </c:pt>
                <c:pt idx="3">
                  <c:v>9.41</c:v>
                </c:pt>
                <c:pt idx="4">
                  <c:v>3.21</c:v>
                </c:pt>
                <c:pt idx="5">
                  <c:v>1.04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AC98-4807-A13C-48456163E88E}"/>
            </c:ext>
          </c:extLst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LEO-1200 Rural non-AAS</c:v>
                </c:pt>
              </c:strCache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Sheet1!$I$2:$I$7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16.14</c:v>
                </c:pt>
                <c:pt idx="3">
                  <c:v>5.71</c:v>
                </c:pt>
                <c:pt idx="4">
                  <c:v>1.87</c:v>
                </c:pt>
                <c:pt idx="5">
                  <c:v>0.6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AC98-4807-A13C-48456163E88E}"/>
            </c:ext>
          </c:extLst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GEO Urban AAS</c:v>
                </c:pt>
              </c:strCache>
            </c:strRef>
          </c:tx>
          <c:spPr>
            <a:ln w="28575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Sheet1!$J$2:$J$7</c:f>
              <c:numCache>
                <c:formatCode>General</c:formatCode>
                <c:ptCount val="6"/>
                <c:pt idx="0">
                  <c:v>7.0000000000000007E-2</c:v>
                </c:pt>
                <c:pt idx="1">
                  <c:v>0.02</c:v>
                </c:pt>
                <c:pt idx="2">
                  <c:v>0.01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AC98-4807-A13C-48456163E88E}"/>
            </c:ext>
          </c:extLst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GEO Urban non-AAS</c:v>
                </c:pt>
              </c:strCache>
            </c:strRef>
          </c:tx>
          <c:spPr>
            <a:ln w="28575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Sheet1!$K$2:$K$7</c:f>
              <c:numCache>
                <c:formatCode>General</c:formatCode>
                <c:ptCount val="6"/>
                <c:pt idx="0">
                  <c:v>0.05</c:v>
                </c:pt>
                <c:pt idx="1">
                  <c:v>0.02</c:v>
                </c:pt>
                <c:pt idx="2">
                  <c:v>0.01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AC98-4807-A13C-48456163E88E}"/>
            </c:ext>
          </c:extLst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GEO Rural AAS</c:v>
                </c:pt>
              </c:strCache>
            </c:strRef>
          </c:tx>
          <c:spPr>
            <a:ln w="28575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Sheet1!$L$2:$L$7</c:f>
              <c:numCache>
                <c:formatCode>General</c:formatCode>
                <c:ptCount val="6"/>
                <c:pt idx="0">
                  <c:v>22.27</c:v>
                </c:pt>
                <c:pt idx="1">
                  <c:v>8.49</c:v>
                </c:pt>
                <c:pt idx="2">
                  <c:v>2.88</c:v>
                </c:pt>
                <c:pt idx="3">
                  <c:v>0.93</c:v>
                </c:pt>
                <c:pt idx="4">
                  <c:v>0.3</c:v>
                </c:pt>
                <c:pt idx="5">
                  <c:v>0.09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AC98-4807-A13C-48456163E88E}"/>
            </c:ext>
          </c:extLst>
        </c:ser>
        <c:ser>
          <c:idx val="11"/>
          <c:order val="11"/>
          <c:tx>
            <c:strRef>
              <c:f>Sheet1!$M$1</c:f>
              <c:strCache>
                <c:ptCount val="1"/>
                <c:pt idx="0">
                  <c:v>GEO Rural non-AAS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Sheet1!$M$2:$M$7</c:f>
              <c:numCache>
                <c:formatCode>General</c:formatCode>
                <c:ptCount val="6"/>
                <c:pt idx="0">
                  <c:v>14.64</c:v>
                </c:pt>
                <c:pt idx="1">
                  <c:v>5.1100000000000003</c:v>
                </c:pt>
                <c:pt idx="2">
                  <c:v>1.67</c:v>
                </c:pt>
                <c:pt idx="3">
                  <c:v>0.54</c:v>
                </c:pt>
                <c:pt idx="4">
                  <c:v>0.17</c:v>
                </c:pt>
                <c:pt idx="5">
                  <c:v>0.05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AC98-4807-A13C-48456163E8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798568191"/>
        <c:axId val="1798572767"/>
      </c:lineChart>
      <c:catAx>
        <c:axId val="1798568191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offset (30dB as basis)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8572767"/>
        <c:crosses val="autoZero"/>
        <c:auto val="1"/>
        <c:lblAlgn val="ctr"/>
        <c:lblOffset val="100"/>
        <c:noMultiLvlLbl val="0"/>
      </c:catAx>
      <c:valAx>
        <c:axId val="1798572767"/>
        <c:scaling>
          <c:orientation val="minMax"/>
          <c:max val="5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 @ 5%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8568191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Scenario</a:t>
            </a:r>
            <a:r>
              <a:rPr lang="en-US" baseline="0"/>
              <a:t> 4: NTN UL interfering TN UL ACIR offset results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LEO-600  Urban - AAS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71.47</c:v>
                </c:pt>
                <c:pt idx="1">
                  <c:v>51.39</c:v>
                </c:pt>
                <c:pt idx="2">
                  <c:v>31.51</c:v>
                </c:pt>
                <c:pt idx="3">
                  <c:v>16.52</c:v>
                </c:pt>
                <c:pt idx="4">
                  <c:v>8.11</c:v>
                </c:pt>
                <c:pt idx="5">
                  <c:v>4.16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824-4FDF-890D-A2E4DB275AC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LEO-600 Rural AAS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  <c:pt idx="0">
                  <c:v>1.91</c:v>
                </c:pt>
                <c:pt idx="1">
                  <c:v>0.69</c:v>
                </c:pt>
                <c:pt idx="2">
                  <c:v>0.26</c:v>
                </c:pt>
                <c:pt idx="3">
                  <c:v>0.1</c:v>
                </c:pt>
                <c:pt idx="4">
                  <c:v>0.04</c:v>
                </c:pt>
                <c:pt idx="5">
                  <c:v>0.02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824-4FDF-890D-A2E4DB275AC7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LEO-1200 Urban AAS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Sheet1!$D$2:$D$7</c:f>
              <c:numCache>
                <c:formatCode>General</c:formatCode>
                <c:ptCount val="6"/>
                <c:pt idx="0">
                  <c:v>71.83</c:v>
                </c:pt>
                <c:pt idx="1">
                  <c:v>51.8</c:v>
                </c:pt>
                <c:pt idx="2">
                  <c:v>31.84</c:v>
                </c:pt>
                <c:pt idx="3">
                  <c:v>16.72</c:v>
                </c:pt>
                <c:pt idx="4">
                  <c:v>8.2100000000000009</c:v>
                </c:pt>
                <c:pt idx="5">
                  <c:v>4.22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824-4FDF-890D-A2E4DB275AC7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LEO-1200 Rural AAS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Sheet1!$E$2:$E$7</c:f>
              <c:numCache>
                <c:formatCode>General</c:formatCode>
                <c:ptCount val="6"/>
                <c:pt idx="0">
                  <c:v>1.95</c:v>
                </c:pt>
                <c:pt idx="1">
                  <c:v>0.71</c:v>
                </c:pt>
                <c:pt idx="2">
                  <c:v>0.26</c:v>
                </c:pt>
                <c:pt idx="3">
                  <c:v>0.11</c:v>
                </c:pt>
                <c:pt idx="4">
                  <c:v>0.04</c:v>
                </c:pt>
                <c:pt idx="5">
                  <c:v>0.02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824-4FDF-890D-A2E4DB275AC7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GEO Urban AAS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Sheet1!$F$2:$F$7</c:f>
              <c:numCache>
                <c:formatCode>General</c:formatCode>
                <c:ptCount val="6"/>
                <c:pt idx="0">
                  <c:v>71.83</c:v>
                </c:pt>
                <c:pt idx="1">
                  <c:v>51.85</c:v>
                </c:pt>
                <c:pt idx="2">
                  <c:v>31.83</c:v>
                </c:pt>
                <c:pt idx="3">
                  <c:v>16.77</c:v>
                </c:pt>
                <c:pt idx="4">
                  <c:v>8.2200000000000006</c:v>
                </c:pt>
                <c:pt idx="5">
                  <c:v>4.22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5824-4FDF-890D-A2E4DB275AC7}"/>
            </c:ext>
          </c:extLst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GEO Rural AAS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</c:numCache>
            </c:numRef>
          </c:cat>
          <c:val>
            <c:numRef>
              <c:f>Sheet1!$G$2:$G$7</c:f>
              <c:numCache>
                <c:formatCode>General</c:formatCode>
                <c:ptCount val="6"/>
                <c:pt idx="0">
                  <c:v>1.91</c:v>
                </c:pt>
                <c:pt idx="1">
                  <c:v>0.7</c:v>
                </c:pt>
                <c:pt idx="2">
                  <c:v>0.26</c:v>
                </c:pt>
                <c:pt idx="3">
                  <c:v>0.1</c:v>
                </c:pt>
                <c:pt idx="4">
                  <c:v>0.04</c:v>
                </c:pt>
                <c:pt idx="5">
                  <c:v>0.02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5824-4FDF-890D-A2E4DB275A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798568191"/>
        <c:axId val="1798572767"/>
      </c:lineChart>
      <c:catAx>
        <c:axId val="1798568191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ACIR offset (30dB as basis)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8572767"/>
        <c:crosses val="autoZero"/>
        <c:auto val="1"/>
        <c:lblAlgn val="ctr"/>
        <c:lblOffset val="100"/>
        <c:noMultiLvlLbl val="0"/>
      </c:catAx>
      <c:valAx>
        <c:axId val="1798572767"/>
        <c:scaling>
          <c:orientation val="minMax"/>
          <c:max val="5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loss @ 5%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8568191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BD7C6B-DABF-4811-B77C-4B74DC21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2063</TotalTime>
  <Pages>9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Tang</dc:creator>
  <cp:keywords/>
  <dc:description/>
  <cp:lastModifiedBy>汤润森/Runsen (Samsung)</cp:lastModifiedBy>
  <cp:revision>23</cp:revision>
  <dcterms:created xsi:type="dcterms:W3CDTF">2021-10-14T07:22:00Z</dcterms:created>
  <dcterms:modified xsi:type="dcterms:W3CDTF">2021-10-22T02:58:00Z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